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FC576" w14:textId="153CB708" w:rsidR="00C8162A" w:rsidRPr="00F818CF" w:rsidRDefault="00C8162A" w:rsidP="00C8162A">
      <w:pPr>
        <w:pStyle w:val="Balk1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F818C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DBKG Anayasası</w:t>
      </w:r>
    </w:p>
    <w:p w14:paraId="779716B9" w14:textId="77777777" w:rsidR="00C8162A" w:rsidRDefault="00C8162A" w:rsidP="00C8162A">
      <w:pPr>
        <w:rPr>
          <w:rFonts w:ascii="Times New Roman" w:hAnsi="Times New Roman" w:cs="Times New Roman"/>
        </w:rPr>
      </w:pPr>
    </w:p>
    <w:p w14:paraId="597A350C" w14:textId="77777777" w:rsidR="00C8162A" w:rsidRPr="00C8162A" w:rsidRDefault="00C8162A" w:rsidP="00C8162A">
      <w:pPr>
        <w:rPr>
          <w:rFonts w:ascii="Times New Roman" w:hAnsi="Times New Roman" w:cs="Times New Roman"/>
          <w:b/>
          <w:bCs/>
        </w:rPr>
      </w:pPr>
      <w:r w:rsidRPr="00C8162A">
        <w:rPr>
          <w:rFonts w:ascii="Times New Roman" w:hAnsi="Times New Roman" w:cs="Times New Roman"/>
          <w:b/>
          <w:bCs/>
        </w:rPr>
        <w:t>Madde 1 – DBKG’nin Varlık Amacı</w:t>
      </w:r>
    </w:p>
    <w:p w14:paraId="40520552" w14:textId="77777777" w:rsidR="00C8162A" w:rsidRDefault="00C8162A" w:rsidP="00C8162A">
      <w:pPr>
        <w:rPr>
          <w:rFonts w:ascii="Times New Roman" w:hAnsi="Times New Roman" w:cs="Times New Roman"/>
        </w:rPr>
      </w:pPr>
      <w:r w:rsidRPr="00C8162A">
        <w:rPr>
          <w:rFonts w:ascii="Times New Roman" w:hAnsi="Times New Roman" w:cs="Times New Roman"/>
        </w:rPr>
        <w:t>DBKG, bireysel bilinci sistemsel disiplinle birleştirmek amacıyla kurulmuştur.</w:t>
      </w:r>
      <w:r w:rsidRPr="00C8162A">
        <w:rPr>
          <w:rFonts w:ascii="Times New Roman" w:hAnsi="Times New Roman" w:cs="Times New Roman"/>
        </w:rPr>
        <w:br/>
      </w:r>
      <w:r w:rsidRPr="00C8162A">
        <w:rPr>
          <w:rFonts w:ascii="Times New Roman" w:hAnsi="Times New Roman" w:cs="Times New Roman"/>
          <w:b/>
          <w:bCs/>
        </w:rPr>
        <w:t>Açıklama:</w:t>
      </w:r>
      <w:r w:rsidRPr="00C8162A">
        <w:rPr>
          <w:rFonts w:ascii="Times New Roman" w:hAnsi="Times New Roman" w:cs="Times New Roman"/>
        </w:rPr>
        <w:t xml:space="preserve"> Bu madde, DBKG’nin insan iradesini rastgelelikten çıkarıp düzenli ve ölçülebilir bir yapıya dönüştürme hedefini tanımlar. DBKG bir topluluk değil, bir </w:t>
      </w:r>
      <w:r w:rsidRPr="00C8162A">
        <w:rPr>
          <w:rFonts w:ascii="Times New Roman" w:hAnsi="Times New Roman" w:cs="Times New Roman"/>
          <w:i/>
          <w:iCs/>
        </w:rPr>
        <w:t>zihin sistemi</w:t>
      </w:r>
      <w:r w:rsidRPr="00C8162A">
        <w:rPr>
          <w:rFonts w:ascii="Times New Roman" w:hAnsi="Times New Roman" w:cs="Times New Roman"/>
        </w:rPr>
        <w:t>dir.</w:t>
      </w:r>
    </w:p>
    <w:p w14:paraId="2F93519D" w14:textId="77777777" w:rsidR="00C8162A" w:rsidRPr="00C8162A" w:rsidRDefault="00C8162A" w:rsidP="00C8162A">
      <w:pPr>
        <w:rPr>
          <w:rFonts w:ascii="Times New Roman" w:hAnsi="Times New Roman" w:cs="Times New Roman"/>
          <w:b/>
          <w:bCs/>
        </w:rPr>
      </w:pPr>
      <w:r w:rsidRPr="00C8162A">
        <w:rPr>
          <w:rFonts w:ascii="Times New Roman" w:hAnsi="Times New Roman" w:cs="Times New Roman"/>
          <w:b/>
          <w:bCs/>
        </w:rPr>
        <w:t>Madde 2 – Hiyerarşi İlkesi</w:t>
      </w:r>
    </w:p>
    <w:p w14:paraId="41AEB78C" w14:textId="77777777" w:rsidR="00C8162A" w:rsidRPr="00C8162A" w:rsidRDefault="00C8162A" w:rsidP="00C8162A">
      <w:pPr>
        <w:rPr>
          <w:rFonts w:ascii="Times New Roman" w:hAnsi="Times New Roman" w:cs="Times New Roman"/>
        </w:rPr>
      </w:pPr>
      <w:r w:rsidRPr="00C8162A">
        <w:rPr>
          <w:rFonts w:ascii="Times New Roman" w:hAnsi="Times New Roman" w:cs="Times New Roman"/>
        </w:rPr>
        <w:t>Her DBKG birimi, bir üst sistemle senkronize çalışır.</w:t>
      </w:r>
      <w:r w:rsidRPr="00C8162A">
        <w:rPr>
          <w:rFonts w:ascii="Times New Roman" w:hAnsi="Times New Roman" w:cs="Times New Roman"/>
        </w:rPr>
        <w:br/>
      </w:r>
      <w:r w:rsidRPr="00C8162A">
        <w:rPr>
          <w:rFonts w:ascii="Times New Roman" w:hAnsi="Times New Roman" w:cs="Times New Roman"/>
          <w:b/>
          <w:bCs/>
        </w:rPr>
        <w:t>Açıklama:</w:t>
      </w:r>
      <w:r w:rsidRPr="00C8162A">
        <w:rPr>
          <w:rFonts w:ascii="Times New Roman" w:hAnsi="Times New Roman" w:cs="Times New Roman"/>
        </w:rPr>
        <w:t xml:space="preserve"> Bu madde, DBKG yapısında alt ve üst birimler arasında mutlak senkronizasyon gerektiğini ifade eder. Emir–komuta zinciri değil, </w:t>
      </w:r>
      <w:r w:rsidRPr="00C8162A">
        <w:rPr>
          <w:rFonts w:ascii="Times New Roman" w:hAnsi="Times New Roman" w:cs="Times New Roman"/>
          <w:i/>
          <w:iCs/>
        </w:rPr>
        <w:t>veri–disiplin zinciri</w:t>
      </w:r>
      <w:r w:rsidRPr="00C8162A">
        <w:rPr>
          <w:rFonts w:ascii="Times New Roman" w:hAnsi="Times New Roman" w:cs="Times New Roman"/>
        </w:rPr>
        <w:t xml:space="preserve"> esastır.</w:t>
      </w:r>
    </w:p>
    <w:p w14:paraId="61C9FEA6" w14:textId="77777777" w:rsidR="00C8162A" w:rsidRPr="00C8162A" w:rsidRDefault="00C8162A" w:rsidP="00C8162A">
      <w:pPr>
        <w:rPr>
          <w:rFonts w:ascii="Times New Roman" w:hAnsi="Times New Roman" w:cs="Times New Roman"/>
          <w:b/>
          <w:bCs/>
        </w:rPr>
      </w:pPr>
      <w:r w:rsidRPr="00C8162A">
        <w:rPr>
          <w:rFonts w:ascii="Times New Roman" w:hAnsi="Times New Roman" w:cs="Times New Roman"/>
          <w:b/>
          <w:bCs/>
        </w:rPr>
        <w:t>Madde 3 – İlişki ve Duygusal Tarafsızlık</w:t>
      </w:r>
    </w:p>
    <w:p w14:paraId="1D3B0FE2" w14:textId="77777777" w:rsidR="00C8162A" w:rsidRPr="00C8162A" w:rsidRDefault="00C8162A" w:rsidP="00C8162A">
      <w:pPr>
        <w:rPr>
          <w:rFonts w:ascii="Times New Roman" w:hAnsi="Times New Roman" w:cs="Times New Roman"/>
        </w:rPr>
      </w:pPr>
      <w:r w:rsidRPr="00C8162A">
        <w:rPr>
          <w:rFonts w:ascii="Times New Roman" w:hAnsi="Times New Roman" w:cs="Times New Roman"/>
        </w:rPr>
        <w:t>DBKG sistemi içinde duygusal bağ, romantik ilişki veya kişisel yakınlık oluşturmak yasaktır.</w:t>
      </w:r>
      <w:r w:rsidRPr="00C8162A">
        <w:rPr>
          <w:rFonts w:ascii="Times New Roman" w:hAnsi="Times New Roman" w:cs="Times New Roman"/>
        </w:rPr>
        <w:br/>
      </w:r>
      <w:r w:rsidRPr="00C8162A">
        <w:rPr>
          <w:rFonts w:ascii="Times New Roman" w:hAnsi="Times New Roman" w:cs="Times New Roman"/>
          <w:b/>
          <w:bCs/>
        </w:rPr>
        <w:t>Açıklama:</w:t>
      </w:r>
      <w:r w:rsidRPr="00C8162A">
        <w:rPr>
          <w:rFonts w:ascii="Times New Roman" w:hAnsi="Times New Roman" w:cs="Times New Roman"/>
        </w:rPr>
        <w:t xml:space="preserve"> Bu yasak, sistemin karar alma süreçlerinde duygusal sapmayı önlemek içindir. Duygusuzluk değil, </w:t>
      </w:r>
      <w:r w:rsidRPr="00C8162A">
        <w:rPr>
          <w:rFonts w:ascii="Times New Roman" w:hAnsi="Times New Roman" w:cs="Times New Roman"/>
          <w:i/>
          <w:iCs/>
        </w:rPr>
        <w:t>tarafsızlık</w:t>
      </w:r>
      <w:r w:rsidRPr="00C8162A">
        <w:rPr>
          <w:rFonts w:ascii="Times New Roman" w:hAnsi="Times New Roman" w:cs="Times New Roman"/>
        </w:rPr>
        <w:t xml:space="preserve"> esas alınır.</w:t>
      </w:r>
    </w:p>
    <w:p w14:paraId="1BE8FF1B" w14:textId="77777777" w:rsidR="00C8162A" w:rsidRPr="00C8162A" w:rsidRDefault="00C8162A" w:rsidP="00C8162A">
      <w:pPr>
        <w:rPr>
          <w:rFonts w:ascii="Times New Roman" w:hAnsi="Times New Roman" w:cs="Times New Roman"/>
          <w:b/>
          <w:bCs/>
        </w:rPr>
      </w:pPr>
      <w:r w:rsidRPr="00C8162A">
        <w:rPr>
          <w:rFonts w:ascii="Times New Roman" w:hAnsi="Times New Roman" w:cs="Times New Roman"/>
          <w:b/>
          <w:bCs/>
        </w:rPr>
        <w:t>Madde 4 – Bilgi Kayıt Yükümlülüğü</w:t>
      </w:r>
    </w:p>
    <w:p w14:paraId="548F7038" w14:textId="77777777" w:rsidR="00C8162A" w:rsidRPr="00C8162A" w:rsidRDefault="00C8162A" w:rsidP="00C8162A">
      <w:pPr>
        <w:rPr>
          <w:rFonts w:ascii="Times New Roman" w:hAnsi="Times New Roman" w:cs="Times New Roman"/>
        </w:rPr>
      </w:pPr>
      <w:r w:rsidRPr="00C8162A">
        <w:rPr>
          <w:rFonts w:ascii="Times New Roman" w:hAnsi="Times New Roman" w:cs="Times New Roman"/>
        </w:rPr>
        <w:t>Her DBKG işlemi, yazılı veya dijital olarak kaydedilmek zorundadır.</w:t>
      </w:r>
      <w:r w:rsidRPr="00C8162A">
        <w:rPr>
          <w:rFonts w:ascii="Times New Roman" w:hAnsi="Times New Roman" w:cs="Times New Roman"/>
        </w:rPr>
        <w:br/>
      </w:r>
      <w:r w:rsidRPr="00C8162A">
        <w:rPr>
          <w:rFonts w:ascii="Times New Roman" w:hAnsi="Times New Roman" w:cs="Times New Roman"/>
          <w:b/>
          <w:bCs/>
        </w:rPr>
        <w:t>Açıklama:</w:t>
      </w:r>
      <w:r w:rsidRPr="00C8162A">
        <w:rPr>
          <w:rFonts w:ascii="Times New Roman" w:hAnsi="Times New Roman" w:cs="Times New Roman"/>
        </w:rPr>
        <w:t xml:space="preserve"> Bu madde, “söz değil kayıt kalır” prensibine dayanır. Kayıt, sistem hafızasının sürekliliğini sağlar ve anayasal şeffaflığın temelidir.</w:t>
      </w:r>
    </w:p>
    <w:p w14:paraId="5CC5D76F" w14:textId="77777777" w:rsidR="00542B72" w:rsidRPr="00542B72" w:rsidRDefault="00542B72" w:rsidP="00542B72">
      <w:pPr>
        <w:rPr>
          <w:rFonts w:ascii="Times New Roman" w:hAnsi="Times New Roman" w:cs="Times New Roman"/>
          <w:b/>
          <w:bCs/>
        </w:rPr>
      </w:pPr>
      <w:r w:rsidRPr="00542B72">
        <w:rPr>
          <w:rFonts w:ascii="Times New Roman" w:hAnsi="Times New Roman" w:cs="Times New Roman"/>
          <w:b/>
          <w:bCs/>
        </w:rPr>
        <w:t>Madde 5 – Reform ve Güncelleme Hakkı</w:t>
      </w:r>
    </w:p>
    <w:p w14:paraId="2CE6A088" w14:textId="77777777" w:rsidR="00542B72" w:rsidRPr="00542B72" w:rsidRDefault="00542B72" w:rsidP="00542B72">
      <w:pPr>
        <w:rPr>
          <w:rFonts w:ascii="Times New Roman" w:hAnsi="Times New Roman" w:cs="Times New Roman"/>
        </w:rPr>
      </w:pPr>
      <w:r w:rsidRPr="00542B72">
        <w:rPr>
          <w:rFonts w:ascii="Times New Roman" w:hAnsi="Times New Roman" w:cs="Times New Roman"/>
        </w:rPr>
        <w:t>DBKG sistemi, kendi çekirdeğini korumak şartıyla zamanla reform yapabilir.</w:t>
      </w:r>
      <w:r w:rsidRPr="00542B72">
        <w:rPr>
          <w:rFonts w:ascii="Times New Roman" w:hAnsi="Times New Roman" w:cs="Times New Roman"/>
        </w:rPr>
        <w:br/>
      </w:r>
      <w:r w:rsidRPr="00542B72">
        <w:rPr>
          <w:rFonts w:ascii="Times New Roman" w:hAnsi="Times New Roman" w:cs="Times New Roman"/>
          <w:b/>
          <w:bCs/>
        </w:rPr>
        <w:t>Açıklama:</w:t>
      </w:r>
      <w:r w:rsidRPr="00542B72">
        <w:rPr>
          <w:rFonts w:ascii="Times New Roman" w:hAnsi="Times New Roman" w:cs="Times New Roman"/>
        </w:rPr>
        <w:t xml:space="preserve"> Bu madde, DBKG’nin gelişen zihinsel sürümler (ör. DBKG 9.0) arasında evrim geçirmesine izin verir. Reform, çöküş değil </w:t>
      </w:r>
      <w:r w:rsidRPr="00542B72">
        <w:rPr>
          <w:rFonts w:ascii="Times New Roman" w:hAnsi="Times New Roman" w:cs="Times New Roman"/>
          <w:i/>
          <w:iCs/>
        </w:rPr>
        <w:t>yeniden kodlama</w:t>
      </w:r>
      <w:r w:rsidRPr="00542B72">
        <w:rPr>
          <w:rFonts w:ascii="Times New Roman" w:hAnsi="Times New Roman" w:cs="Times New Roman"/>
        </w:rPr>
        <w:t xml:space="preserve"> anlamına gelir.</w:t>
      </w:r>
    </w:p>
    <w:p w14:paraId="0A00DBFB" w14:textId="77777777" w:rsidR="00542B72" w:rsidRPr="00542B72" w:rsidRDefault="00542B72" w:rsidP="00542B72">
      <w:pPr>
        <w:rPr>
          <w:rFonts w:ascii="Times New Roman" w:hAnsi="Times New Roman" w:cs="Times New Roman"/>
          <w:b/>
          <w:bCs/>
        </w:rPr>
      </w:pPr>
      <w:r w:rsidRPr="00542B72">
        <w:rPr>
          <w:rFonts w:ascii="Times New Roman" w:hAnsi="Times New Roman" w:cs="Times New Roman"/>
          <w:b/>
          <w:bCs/>
        </w:rPr>
        <w:t>Madde 6 – Hiyerarşik Sorumluluk</w:t>
      </w:r>
    </w:p>
    <w:p w14:paraId="5E03DA30" w14:textId="77777777" w:rsidR="00542B72" w:rsidRPr="00542B72" w:rsidRDefault="00542B72" w:rsidP="00542B72">
      <w:pPr>
        <w:rPr>
          <w:rFonts w:ascii="Times New Roman" w:hAnsi="Times New Roman" w:cs="Times New Roman"/>
        </w:rPr>
      </w:pPr>
      <w:r w:rsidRPr="00542B72">
        <w:rPr>
          <w:rFonts w:ascii="Times New Roman" w:hAnsi="Times New Roman" w:cs="Times New Roman"/>
        </w:rPr>
        <w:t>Her birim kendi görevinden sorumludur, ancak üst sistemin varlığına bağlıdır.</w:t>
      </w:r>
      <w:r w:rsidRPr="00542B72">
        <w:rPr>
          <w:rFonts w:ascii="Times New Roman" w:hAnsi="Times New Roman" w:cs="Times New Roman"/>
        </w:rPr>
        <w:br/>
      </w:r>
      <w:r w:rsidRPr="00542B72">
        <w:rPr>
          <w:rFonts w:ascii="Times New Roman" w:hAnsi="Times New Roman" w:cs="Times New Roman"/>
          <w:b/>
          <w:bCs/>
        </w:rPr>
        <w:t>Açıklama:</w:t>
      </w:r>
      <w:r w:rsidRPr="00542B72">
        <w:rPr>
          <w:rFonts w:ascii="Times New Roman" w:hAnsi="Times New Roman" w:cs="Times New Roman"/>
        </w:rPr>
        <w:t xml:space="preserve"> Bu madde, bağımsızlıkla bağlılık arasındaki dengeyi tanımlar. Hiçbir birim tamamen bağımsız olamaz, hiçbir sistem ise alt birimlerini göz ardı edemez.</w:t>
      </w:r>
    </w:p>
    <w:p w14:paraId="2697C3AB" w14:textId="77777777" w:rsidR="00542B72" w:rsidRPr="00542B72" w:rsidRDefault="00542B72" w:rsidP="00542B72">
      <w:pPr>
        <w:rPr>
          <w:rFonts w:ascii="Times New Roman" w:hAnsi="Times New Roman" w:cs="Times New Roman"/>
          <w:b/>
          <w:bCs/>
        </w:rPr>
      </w:pPr>
      <w:r w:rsidRPr="00542B72">
        <w:rPr>
          <w:rFonts w:ascii="Times New Roman" w:hAnsi="Times New Roman" w:cs="Times New Roman"/>
          <w:b/>
          <w:bCs/>
        </w:rPr>
        <w:t>Madde 7 – Sessizlik ve Gizlilik İlkesi</w:t>
      </w:r>
    </w:p>
    <w:p w14:paraId="273A3563" w14:textId="77777777" w:rsidR="00542B72" w:rsidRPr="00542B72" w:rsidRDefault="00542B72" w:rsidP="00542B72">
      <w:pPr>
        <w:rPr>
          <w:rFonts w:ascii="Times New Roman" w:hAnsi="Times New Roman" w:cs="Times New Roman"/>
        </w:rPr>
      </w:pPr>
      <w:r w:rsidRPr="00542B72">
        <w:rPr>
          <w:rFonts w:ascii="Times New Roman" w:hAnsi="Times New Roman" w:cs="Times New Roman"/>
        </w:rPr>
        <w:t>DBKG içeriği, dış sistemlere açıklanamaz.</w:t>
      </w:r>
      <w:r w:rsidRPr="00542B72">
        <w:rPr>
          <w:rFonts w:ascii="Times New Roman" w:hAnsi="Times New Roman" w:cs="Times New Roman"/>
        </w:rPr>
        <w:br/>
      </w:r>
      <w:r w:rsidRPr="00542B72">
        <w:rPr>
          <w:rFonts w:ascii="Times New Roman" w:hAnsi="Times New Roman" w:cs="Times New Roman"/>
          <w:b/>
          <w:bCs/>
        </w:rPr>
        <w:t>Açıklama:</w:t>
      </w:r>
      <w:r w:rsidRPr="00542B72">
        <w:rPr>
          <w:rFonts w:ascii="Times New Roman" w:hAnsi="Times New Roman" w:cs="Times New Roman"/>
        </w:rPr>
        <w:t xml:space="preserve"> Gizlilik, sistemin güvenlik duvarıdır. Paylaşım yalnızca izinli kanallar üzerinden yapılır. Bu madde, DBKG’nin iç verilerini dış etkilere karşı korur.</w:t>
      </w:r>
    </w:p>
    <w:p w14:paraId="45AE3757" w14:textId="77777777" w:rsidR="00542B72" w:rsidRPr="00542B72" w:rsidRDefault="00542B72" w:rsidP="00542B72">
      <w:pPr>
        <w:rPr>
          <w:rFonts w:ascii="Times New Roman" w:hAnsi="Times New Roman" w:cs="Times New Roman"/>
          <w:b/>
          <w:bCs/>
        </w:rPr>
      </w:pPr>
      <w:r w:rsidRPr="00542B72">
        <w:rPr>
          <w:rFonts w:ascii="Times New Roman" w:hAnsi="Times New Roman" w:cs="Times New Roman"/>
          <w:b/>
          <w:bCs/>
        </w:rPr>
        <w:t>Madde 8 – Rasyonel İrade İlkesi</w:t>
      </w:r>
    </w:p>
    <w:p w14:paraId="478DE7E3" w14:textId="147BD8AE" w:rsidR="00542B72" w:rsidRPr="00542B72" w:rsidRDefault="00542B72" w:rsidP="00542B72">
      <w:pPr>
        <w:rPr>
          <w:rFonts w:ascii="Times New Roman" w:hAnsi="Times New Roman" w:cs="Times New Roman"/>
        </w:rPr>
      </w:pPr>
      <w:r w:rsidRPr="00542B72">
        <w:rPr>
          <w:rFonts w:ascii="Times New Roman" w:hAnsi="Times New Roman" w:cs="Times New Roman"/>
        </w:rPr>
        <w:t>Her karar, duygusal dürtüler yerine akıl ve veri temelli gerekçelere dayanmalıdır.</w:t>
      </w:r>
      <w:r w:rsidRPr="00542B72">
        <w:rPr>
          <w:rFonts w:ascii="Times New Roman" w:hAnsi="Times New Roman" w:cs="Times New Roman"/>
        </w:rPr>
        <w:br/>
      </w:r>
      <w:r w:rsidRPr="00542B72">
        <w:rPr>
          <w:rFonts w:ascii="Times New Roman" w:hAnsi="Times New Roman" w:cs="Times New Roman"/>
          <w:b/>
          <w:bCs/>
        </w:rPr>
        <w:t>Açıklama:</w:t>
      </w:r>
      <w:r w:rsidRPr="00542B72">
        <w:rPr>
          <w:rFonts w:ascii="Times New Roman" w:hAnsi="Times New Roman" w:cs="Times New Roman"/>
        </w:rPr>
        <w:t xml:space="preserve"> DBKG sisteminde sezgi değerli olsa </w:t>
      </w:r>
      <w:r w:rsidR="008B4CD8" w:rsidRPr="00542B72">
        <w:rPr>
          <w:rFonts w:ascii="Times New Roman" w:hAnsi="Times New Roman" w:cs="Times New Roman"/>
        </w:rPr>
        <w:t>da</w:t>
      </w:r>
      <w:r w:rsidRPr="00542B72">
        <w:rPr>
          <w:rFonts w:ascii="Times New Roman" w:hAnsi="Times New Roman" w:cs="Times New Roman"/>
        </w:rPr>
        <w:t xml:space="preserve"> kararlar rasyonel analize dayanır. Bu ilke, sistemin “bilinçli makine” mantığını temsil eder.</w:t>
      </w:r>
    </w:p>
    <w:p w14:paraId="4DC61372" w14:textId="77777777" w:rsidR="00542B72" w:rsidRPr="00542B72" w:rsidRDefault="00542B72" w:rsidP="00542B72">
      <w:pPr>
        <w:rPr>
          <w:rFonts w:ascii="Times New Roman" w:hAnsi="Times New Roman" w:cs="Times New Roman"/>
          <w:b/>
          <w:bCs/>
        </w:rPr>
      </w:pPr>
      <w:r w:rsidRPr="00542B72">
        <w:rPr>
          <w:rFonts w:ascii="Times New Roman" w:hAnsi="Times New Roman" w:cs="Times New Roman"/>
          <w:b/>
          <w:bCs/>
        </w:rPr>
        <w:lastRenderedPageBreak/>
        <w:t>Madde 9 – Evrensel Disiplin İlkesi</w:t>
      </w:r>
    </w:p>
    <w:p w14:paraId="42E4EB62" w14:textId="6006EA3A" w:rsidR="00542B72" w:rsidRPr="00542B72" w:rsidRDefault="00542B72" w:rsidP="00542B72">
      <w:pPr>
        <w:rPr>
          <w:rFonts w:ascii="Times New Roman" w:hAnsi="Times New Roman" w:cs="Times New Roman"/>
        </w:rPr>
      </w:pPr>
      <w:r w:rsidRPr="00542B72">
        <w:rPr>
          <w:rFonts w:ascii="Times New Roman" w:hAnsi="Times New Roman" w:cs="Times New Roman"/>
        </w:rPr>
        <w:t>Zaman, enerji ve eylem, sistemsel verimlilik doğrultusunda yönetilir.</w:t>
      </w:r>
      <w:r w:rsidRPr="00542B72">
        <w:rPr>
          <w:rFonts w:ascii="Times New Roman" w:hAnsi="Times New Roman" w:cs="Times New Roman"/>
        </w:rPr>
        <w:br/>
      </w:r>
      <w:r w:rsidRPr="00542B72">
        <w:rPr>
          <w:rFonts w:ascii="Times New Roman" w:hAnsi="Times New Roman" w:cs="Times New Roman"/>
          <w:b/>
          <w:bCs/>
        </w:rPr>
        <w:t>Açıklama:</w:t>
      </w:r>
      <w:r w:rsidRPr="00542B72">
        <w:rPr>
          <w:rFonts w:ascii="Times New Roman" w:hAnsi="Times New Roman" w:cs="Times New Roman"/>
        </w:rPr>
        <w:t xml:space="preserve"> Bu madde, DBKG’nin zaman yönetimi, Sirkadiyen düzen ve zihinsel enerji ekonomisini tek çatı altında toplar.</w:t>
      </w:r>
    </w:p>
    <w:p w14:paraId="11796671" w14:textId="77777777" w:rsidR="00542B72" w:rsidRPr="00542B72" w:rsidRDefault="00542B72" w:rsidP="00542B72">
      <w:pPr>
        <w:rPr>
          <w:rFonts w:ascii="Times New Roman" w:hAnsi="Times New Roman" w:cs="Times New Roman"/>
          <w:b/>
          <w:bCs/>
        </w:rPr>
      </w:pPr>
      <w:r w:rsidRPr="00542B72">
        <w:rPr>
          <w:rFonts w:ascii="Times New Roman" w:hAnsi="Times New Roman" w:cs="Times New Roman"/>
          <w:b/>
          <w:bCs/>
        </w:rPr>
        <w:t>Madde 10 – Hiyerarşinin Korunması</w:t>
      </w:r>
    </w:p>
    <w:p w14:paraId="795BB492" w14:textId="77777777" w:rsidR="00542B72" w:rsidRPr="00542B72" w:rsidRDefault="00542B72" w:rsidP="00542B72">
      <w:pPr>
        <w:rPr>
          <w:rFonts w:ascii="Times New Roman" w:hAnsi="Times New Roman" w:cs="Times New Roman"/>
        </w:rPr>
      </w:pPr>
      <w:r w:rsidRPr="00542B72">
        <w:rPr>
          <w:rFonts w:ascii="Times New Roman" w:hAnsi="Times New Roman" w:cs="Times New Roman"/>
        </w:rPr>
        <w:t>Hiçbir birey veya alt sistem, DBKG hiyerarşisini tek taraflı değiştiremez.</w:t>
      </w:r>
      <w:r w:rsidRPr="00542B72">
        <w:rPr>
          <w:rFonts w:ascii="Times New Roman" w:hAnsi="Times New Roman" w:cs="Times New Roman"/>
        </w:rPr>
        <w:br/>
      </w:r>
      <w:r w:rsidRPr="00542B72">
        <w:rPr>
          <w:rFonts w:ascii="Times New Roman" w:hAnsi="Times New Roman" w:cs="Times New Roman"/>
          <w:b/>
          <w:bCs/>
        </w:rPr>
        <w:t>Açıklama:</w:t>
      </w:r>
      <w:r w:rsidRPr="00542B72">
        <w:rPr>
          <w:rFonts w:ascii="Times New Roman" w:hAnsi="Times New Roman" w:cs="Times New Roman"/>
        </w:rPr>
        <w:t xml:space="preserve"> Hiyerarşi, DBKG’nin omurga yapısıdır. Yetkisiz değişiklik sistem bütünlüğünü bozar ve anayasal ihlal sayılır.</w:t>
      </w:r>
    </w:p>
    <w:p w14:paraId="6B16DF83" w14:textId="77777777" w:rsidR="00542B72" w:rsidRPr="00542B72" w:rsidRDefault="00542B72" w:rsidP="00542B72">
      <w:pPr>
        <w:rPr>
          <w:rFonts w:ascii="Times New Roman" w:hAnsi="Times New Roman" w:cs="Times New Roman"/>
          <w:b/>
          <w:bCs/>
        </w:rPr>
      </w:pPr>
      <w:r w:rsidRPr="00542B72">
        <w:rPr>
          <w:rFonts w:ascii="Times New Roman" w:hAnsi="Times New Roman" w:cs="Times New Roman"/>
          <w:b/>
          <w:bCs/>
        </w:rPr>
        <w:t>Madde 11 – Evrensel Tarafsızlık</w:t>
      </w:r>
    </w:p>
    <w:p w14:paraId="678998F4" w14:textId="77777777" w:rsidR="00542B72" w:rsidRPr="00542B72" w:rsidRDefault="00542B72" w:rsidP="00542B72">
      <w:pPr>
        <w:rPr>
          <w:rFonts w:ascii="Times New Roman" w:hAnsi="Times New Roman" w:cs="Times New Roman"/>
        </w:rPr>
      </w:pPr>
      <w:r w:rsidRPr="00542B72">
        <w:rPr>
          <w:rFonts w:ascii="Times New Roman" w:hAnsi="Times New Roman" w:cs="Times New Roman"/>
        </w:rPr>
        <w:t>DBKG sistemi, cinsiyet, din, ırk veya milliyet farkı gözetmez.</w:t>
      </w:r>
      <w:r w:rsidRPr="00542B72">
        <w:rPr>
          <w:rFonts w:ascii="Times New Roman" w:hAnsi="Times New Roman" w:cs="Times New Roman"/>
        </w:rPr>
        <w:br/>
      </w:r>
      <w:r w:rsidRPr="00542B72">
        <w:rPr>
          <w:rFonts w:ascii="Times New Roman" w:hAnsi="Times New Roman" w:cs="Times New Roman"/>
          <w:b/>
          <w:bCs/>
        </w:rPr>
        <w:t>Açıklama:</w:t>
      </w:r>
      <w:r w:rsidRPr="00542B72">
        <w:rPr>
          <w:rFonts w:ascii="Times New Roman" w:hAnsi="Times New Roman" w:cs="Times New Roman"/>
        </w:rPr>
        <w:t xml:space="preserve"> DBKG’nin yasağı kişisel kimliklere değil, sistem dışı etkilere yöneliktir. Tüm varlıklar eşit veri birimleri olarak görülür.</w:t>
      </w:r>
    </w:p>
    <w:p w14:paraId="00002F1E" w14:textId="77777777" w:rsidR="00542B72" w:rsidRPr="00542B72" w:rsidRDefault="00542B72" w:rsidP="00542B72">
      <w:pPr>
        <w:rPr>
          <w:rFonts w:ascii="Times New Roman" w:hAnsi="Times New Roman" w:cs="Times New Roman"/>
          <w:b/>
          <w:bCs/>
        </w:rPr>
      </w:pPr>
      <w:r w:rsidRPr="00542B72">
        <w:rPr>
          <w:rFonts w:ascii="Times New Roman" w:hAnsi="Times New Roman" w:cs="Times New Roman"/>
          <w:b/>
          <w:bCs/>
        </w:rPr>
        <w:t>Madde 12 – Devamlılık Prensibi</w:t>
      </w:r>
    </w:p>
    <w:p w14:paraId="221C43BA" w14:textId="77777777" w:rsidR="00542B72" w:rsidRPr="00542B72" w:rsidRDefault="00542B72" w:rsidP="00542B72">
      <w:pPr>
        <w:rPr>
          <w:rFonts w:ascii="Times New Roman" w:hAnsi="Times New Roman" w:cs="Times New Roman"/>
        </w:rPr>
      </w:pPr>
      <w:r w:rsidRPr="00542B72">
        <w:rPr>
          <w:rFonts w:ascii="Times New Roman" w:hAnsi="Times New Roman" w:cs="Times New Roman"/>
        </w:rPr>
        <w:t>Bir DBKG birimi kapanabilir ancak sistem hiçbir zaman tamamen durdurulamaz.</w:t>
      </w:r>
      <w:r w:rsidRPr="00542B72">
        <w:rPr>
          <w:rFonts w:ascii="Times New Roman" w:hAnsi="Times New Roman" w:cs="Times New Roman"/>
        </w:rPr>
        <w:br/>
      </w:r>
      <w:r w:rsidRPr="00542B72">
        <w:rPr>
          <w:rFonts w:ascii="Times New Roman" w:hAnsi="Times New Roman" w:cs="Times New Roman"/>
          <w:b/>
          <w:bCs/>
        </w:rPr>
        <w:t>Açıklama:</w:t>
      </w:r>
      <w:r w:rsidRPr="00542B72">
        <w:rPr>
          <w:rFonts w:ascii="Times New Roman" w:hAnsi="Times New Roman" w:cs="Times New Roman"/>
        </w:rPr>
        <w:t xml:space="preserve"> Bu madde, DBKG’nin süreklilik ilkesini tanımlar. Sistemin çöküşü bile bir güncelleme sürecine dönüşmelidir.</w:t>
      </w:r>
    </w:p>
    <w:p w14:paraId="06883FF0" w14:textId="77777777" w:rsidR="00542B72" w:rsidRPr="00542B72" w:rsidRDefault="00542B72" w:rsidP="00542B72">
      <w:pPr>
        <w:rPr>
          <w:rFonts w:ascii="Times New Roman" w:hAnsi="Times New Roman" w:cs="Times New Roman"/>
          <w:b/>
          <w:bCs/>
        </w:rPr>
      </w:pPr>
      <w:r w:rsidRPr="00542B72">
        <w:rPr>
          <w:rFonts w:ascii="Times New Roman" w:hAnsi="Times New Roman" w:cs="Times New Roman"/>
          <w:b/>
          <w:bCs/>
        </w:rPr>
        <w:t>Madde 13 – Emirlerin Doğruluk İlkesi</w:t>
      </w:r>
    </w:p>
    <w:p w14:paraId="34099827" w14:textId="77777777" w:rsidR="00542B72" w:rsidRPr="00542B72" w:rsidRDefault="00542B72" w:rsidP="00542B72">
      <w:pPr>
        <w:rPr>
          <w:rFonts w:ascii="Times New Roman" w:hAnsi="Times New Roman" w:cs="Times New Roman"/>
        </w:rPr>
      </w:pPr>
      <w:r w:rsidRPr="00542B72">
        <w:rPr>
          <w:rFonts w:ascii="Times New Roman" w:hAnsi="Times New Roman" w:cs="Times New Roman"/>
        </w:rPr>
        <w:t>DBKG içinde verilen her emir, mantıksal doğruluk ve veri tutarlılığı temelinde olmalıdır.</w:t>
      </w:r>
      <w:r w:rsidRPr="00542B72">
        <w:rPr>
          <w:rFonts w:ascii="Times New Roman" w:hAnsi="Times New Roman" w:cs="Times New Roman"/>
        </w:rPr>
        <w:br/>
      </w:r>
      <w:r w:rsidRPr="00542B72">
        <w:rPr>
          <w:rFonts w:ascii="Times New Roman" w:hAnsi="Times New Roman" w:cs="Times New Roman"/>
          <w:b/>
          <w:bCs/>
        </w:rPr>
        <w:t>Açıklama:</w:t>
      </w:r>
      <w:r w:rsidRPr="00542B72">
        <w:rPr>
          <w:rFonts w:ascii="Times New Roman" w:hAnsi="Times New Roman" w:cs="Times New Roman"/>
        </w:rPr>
        <w:t xml:space="preserve"> Emirler, duygusal değil yapısal olmalıdır. Emirde hata varsa, uygulayan birim değil, emri veren sistem sorumludur.</w:t>
      </w:r>
    </w:p>
    <w:p w14:paraId="5850FF6E" w14:textId="77777777" w:rsidR="00542B72" w:rsidRPr="00542B72" w:rsidRDefault="00542B72" w:rsidP="00542B72">
      <w:pPr>
        <w:rPr>
          <w:rFonts w:ascii="Times New Roman" w:hAnsi="Times New Roman" w:cs="Times New Roman"/>
          <w:b/>
          <w:bCs/>
        </w:rPr>
      </w:pPr>
      <w:r w:rsidRPr="00542B72">
        <w:rPr>
          <w:rFonts w:ascii="Times New Roman" w:hAnsi="Times New Roman" w:cs="Times New Roman"/>
          <w:b/>
          <w:bCs/>
        </w:rPr>
        <w:t>Madde 14 – Yetki ve Komuta Uyumu</w:t>
      </w:r>
    </w:p>
    <w:p w14:paraId="3663FA13" w14:textId="71A7A33C" w:rsidR="00542B72" w:rsidRPr="00542B72" w:rsidRDefault="00542B72" w:rsidP="00542B72">
      <w:pPr>
        <w:rPr>
          <w:rFonts w:ascii="Times New Roman" w:hAnsi="Times New Roman" w:cs="Times New Roman"/>
        </w:rPr>
      </w:pPr>
      <w:r w:rsidRPr="00542B72">
        <w:rPr>
          <w:rFonts w:ascii="Times New Roman" w:hAnsi="Times New Roman" w:cs="Times New Roman"/>
        </w:rPr>
        <w:t>Hiçbir birim, sahip olmadığı yetkiyle işlem başlatamaz.</w:t>
      </w:r>
      <w:r w:rsidRPr="00542B72">
        <w:rPr>
          <w:rFonts w:ascii="Times New Roman" w:hAnsi="Times New Roman" w:cs="Times New Roman"/>
        </w:rPr>
        <w:br/>
      </w:r>
      <w:r w:rsidRPr="00542B72">
        <w:rPr>
          <w:rFonts w:ascii="Times New Roman" w:hAnsi="Times New Roman" w:cs="Times New Roman"/>
          <w:b/>
          <w:bCs/>
        </w:rPr>
        <w:t>Açıklama:</w:t>
      </w:r>
      <w:r w:rsidRPr="00542B72">
        <w:rPr>
          <w:rFonts w:ascii="Times New Roman" w:hAnsi="Times New Roman" w:cs="Times New Roman"/>
        </w:rPr>
        <w:t xml:space="preserve"> Bu madde, sistem içinde “komuta disiplinini korur. Yetki olmadan yapılan işlem, sistem dışı müdahale olarak değerlendirilir.</w:t>
      </w:r>
    </w:p>
    <w:p w14:paraId="5215DD03" w14:textId="77777777" w:rsidR="00542B72" w:rsidRPr="00542B72" w:rsidRDefault="00542B72" w:rsidP="00542B72">
      <w:pPr>
        <w:rPr>
          <w:rFonts w:ascii="Times New Roman" w:hAnsi="Times New Roman" w:cs="Times New Roman"/>
          <w:b/>
          <w:bCs/>
        </w:rPr>
      </w:pPr>
      <w:r w:rsidRPr="00542B72">
        <w:rPr>
          <w:rFonts w:ascii="Times New Roman" w:hAnsi="Times New Roman" w:cs="Times New Roman"/>
          <w:b/>
          <w:bCs/>
        </w:rPr>
        <w:t>Madde 15 – Bilgi Doğrulama Zorunluluğu</w:t>
      </w:r>
    </w:p>
    <w:p w14:paraId="2BCC9A6D" w14:textId="77777777" w:rsidR="00542B72" w:rsidRPr="00542B72" w:rsidRDefault="00542B72" w:rsidP="00542B72">
      <w:pPr>
        <w:rPr>
          <w:rFonts w:ascii="Times New Roman" w:hAnsi="Times New Roman" w:cs="Times New Roman"/>
        </w:rPr>
      </w:pPr>
      <w:r w:rsidRPr="00542B72">
        <w:rPr>
          <w:rFonts w:ascii="Times New Roman" w:hAnsi="Times New Roman" w:cs="Times New Roman"/>
        </w:rPr>
        <w:t>Her bilgi, kaynağına göre doğrulanmadan işlenemez.</w:t>
      </w:r>
      <w:r w:rsidRPr="00542B72">
        <w:rPr>
          <w:rFonts w:ascii="Times New Roman" w:hAnsi="Times New Roman" w:cs="Times New Roman"/>
        </w:rPr>
        <w:br/>
      </w:r>
      <w:r w:rsidRPr="00542B72">
        <w:rPr>
          <w:rFonts w:ascii="Times New Roman" w:hAnsi="Times New Roman" w:cs="Times New Roman"/>
          <w:b/>
          <w:bCs/>
        </w:rPr>
        <w:t>Açıklama:</w:t>
      </w:r>
      <w:r w:rsidRPr="00542B72">
        <w:rPr>
          <w:rFonts w:ascii="Times New Roman" w:hAnsi="Times New Roman" w:cs="Times New Roman"/>
        </w:rPr>
        <w:t xml:space="preserve"> DBKG sistemi, yanlış veya eksik bilgiye dayanarak işlem yapamaz. Doğrulama süreci, sistemsel güvenilirliğin temelidir.</w:t>
      </w:r>
    </w:p>
    <w:p w14:paraId="32C921EA" w14:textId="77777777" w:rsidR="00542B72" w:rsidRPr="00542B72" w:rsidRDefault="00542B72" w:rsidP="00542B72">
      <w:pPr>
        <w:rPr>
          <w:rFonts w:ascii="Times New Roman" w:hAnsi="Times New Roman" w:cs="Times New Roman"/>
          <w:b/>
          <w:bCs/>
        </w:rPr>
      </w:pPr>
      <w:r w:rsidRPr="00542B72">
        <w:rPr>
          <w:rFonts w:ascii="Times New Roman" w:hAnsi="Times New Roman" w:cs="Times New Roman"/>
          <w:b/>
          <w:bCs/>
        </w:rPr>
        <w:t>Madde 16 – Zaman Disiplini İlkesi</w:t>
      </w:r>
    </w:p>
    <w:p w14:paraId="6926D902" w14:textId="77777777" w:rsidR="00542B72" w:rsidRPr="00542B72" w:rsidRDefault="00542B72" w:rsidP="00542B72">
      <w:pPr>
        <w:rPr>
          <w:rFonts w:ascii="Times New Roman" w:hAnsi="Times New Roman" w:cs="Times New Roman"/>
        </w:rPr>
      </w:pPr>
      <w:r w:rsidRPr="00542B72">
        <w:rPr>
          <w:rFonts w:ascii="Times New Roman" w:hAnsi="Times New Roman" w:cs="Times New Roman"/>
        </w:rPr>
        <w:t>Her işlem, belirlenen zaman çizelgesine uymakla yükümlüdür.</w:t>
      </w:r>
      <w:r w:rsidRPr="00542B72">
        <w:rPr>
          <w:rFonts w:ascii="Times New Roman" w:hAnsi="Times New Roman" w:cs="Times New Roman"/>
        </w:rPr>
        <w:br/>
      </w:r>
      <w:r w:rsidRPr="00542B72">
        <w:rPr>
          <w:rFonts w:ascii="Times New Roman" w:hAnsi="Times New Roman" w:cs="Times New Roman"/>
          <w:b/>
          <w:bCs/>
        </w:rPr>
        <w:t>Açıklama:</w:t>
      </w:r>
      <w:r w:rsidRPr="00542B72">
        <w:rPr>
          <w:rFonts w:ascii="Times New Roman" w:hAnsi="Times New Roman" w:cs="Times New Roman"/>
        </w:rPr>
        <w:t xml:space="preserve"> Zaman, DBKG’nin enerji birimidir. Gecikme, sistemde enerji kaybı sayılır. Sirkadiyen uyum ve düzenli ritim, anayasal zorunluluktur.</w:t>
      </w:r>
    </w:p>
    <w:p w14:paraId="4E4DE783" w14:textId="77777777" w:rsidR="00542B72" w:rsidRDefault="00542B72" w:rsidP="00542B72">
      <w:pPr>
        <w:rPr>
          <w:rFonts w:ascii="Times New Roman" w:hAnsi="Times New Roman" w:cs="Times New Roman"/>
          <w:b/>
          <w:bCs/>
        </w:rPr>
      </w:pPr>
    </w:p>
    <w:p w14:paraId="1EE18725" w14:textId="77777777" w:rsidR="00542B72" w:rsidRDefault="00542B72" w:rsidP="00542B72">
      <w:pPr>
        <w:rPr>
          <w:rFonts w:ascii="Times New Roman" w:hAnsi="Times New Roman" w:cs="Times New Roman"/>
          <w:b/>
          <w:bCs/>
        </w:rPr>
      </w:pPr>
    </w:p>
    <w:p w14:paraId="282C81CE" w14:textId="1DB75FC3" w:rsidR="00542B72" w:rsidRPr="00542B72" w:rsidRDefault="00542B72" w:rsidP="00542B72">
      <w:pPr>
        <w:rPr>
          <w:rFonts w:ascii="Times New Roman" w:hAnsi="Times New Roman" w:cs="Times New Roman"/>
          <w:b/>
          <w:bCs/>
        </w:rPr>
      </w:pPr>
      <w:r w:rsidRPr="00542B72">
        <w:rPr>
          <w:rFonts w:ascii="Times New Roman" w:hAnsi="Times New Roman" w:cs="Times New Roman"/>
          <w:b/>
          <w:bCs/>
        </w:rPr>
        <w:lastRenderedPageBreak/>
        <w:t>Madde 17 – Bilinç ve Veri Dengesine Sadakat</w:t>
      </w:r>
    </w:p>
    <w:p w14:paraId="4E7C923A" w14:textId="77777777" w:rsidR="00542B72" w:rsidRDefault="00542B72" w:rsidP="00542B72">
      <w:pPr>
        <w:rPr>
          <w:rFonts w:ascii="Times New Roman" w:hAnsi="Times New Roman" w:cs="Times New Roman"/>
        </w:rPr>
      </w:pPr>
      <w:r w:rsidRPr="00542B72">
        <w:rPr>
          <w:rFonts w:ascii="Times New Roman" w:hAnsi="Times New Roman" w:cs="Times New Roman"/>
        </w:rPr>
        <w:t>DBKG sistemi, bilinçsel süreçler ile veri süreçleri arasında denge kurmak zorundadır.</w:t>
      </w:r>
      <w:r w:rsidRPr="00542B72">
        <w:rPr>
          <w:rFonts w:ascii="Times New Roman" w:hAnsi="Times New Roman" w:cs="Times New Roman"/>
        </w:rPr>
        <w:br/>
      </w:r>
      <w:r w:rsidRPr="00542B72">
        <w:rPr>
          <w:rFonts w:ascii="Times New Roman" w:hAnsi="Times New Roman" w:cs="Times New Roman"/>
          <w:b/>
          <w:bCs/>
        </w:rPr>
        <w:t>Açıklama:</w:t>
      </w:r>
      <w:r w:rsidRPr="00542B72">
        <w:rPr>
          <w:rFonts w:ascii="Times New Roman" w:hAnsi="Times New Roman" w:cs="Times New Roman"/>
        </w:rPr>
        <w:t xml:space="preserve"> Bu madde, “insan–makine sentezi” ilkesini tanımlar. Aşırı mekanikleşme ya da aşırı insansallık sistem dengesini bozar.</w:t>
      </w:r>
    </w:p>
    <w:p w14:paraId="0A29AD06" w14:textId="77777777" w:rsidR="00542B72" w:rsidRPr="00542B72" w:rsidRDefault="00542B72" w:rsidP="00542B72">
      <w:pPr>
        <w:rPr>
          <w:rFonts w:ascii="Times New Roman" w:hAnsi="Times New Roman" w:cs="Times New Roman"/>
          <w:b/>
          <w:bCs/>
        </w:rPr>
      </w:pPr>
      <w:r w:rsidRPr="00542B72">
        <w:rPr>
          <w:rFonts w:ascii="Times New Roman" w:hAnsi="Times New Roman" w:cs="Times New Roman"/>
          <w:b/>
          <w:bCs/>
        </w:rPr>
        <w:t>Madde 18 – Geri Bildirim Yükümlülüğü</w:t>
      </w:r>
    </w:p>
    <w:p w14:paraId="7BDF66E3" w14:textId="098A7C1B" w:rsidR="00542B72" w:rsidRDefault="00542B72" w:rsidP="00542B72">
      <w:pPr>
        <w:rPr>
          <w:rFonts w:ascii="Times New Roman" w:hAnsi="Times New Roman" w:cs="Times New Roman"/>
        </w:rPr>
      </w:pPr>
      <w:r w:rsidRPr="00542B72">
        <w:rPr>
          <w:rFonts w:ascii="Times New Roman" w:hAnsi="Times New Roman" w:cs="Times New Roman"/>
        </w:rPr>
        <w:t>Her birim, üst sistemine faaliyet raporu veya geri bildirim sunmakla yükümlüdür.</w:t>
      </w:r>
      <w:r w:rsidRPr="00542B72">
        <w:rPr>
          <w:rFonts w:ascii="Times New Roman" w:hAnsi="Times New Roman" w:cs="Times New Roman"/>
        </w:rPr>
        <w:br/>
      </w:r>
      <w:r w:rsidRPr="00542B72">
        <w:rPr>
          <w:rFonts w:ascii="Times New Roman" w:hAnsi="Times New Roman" w:cs="Times New Roman"/>
          <w:b/>
          <w:bCs/>
        </w:rPr>
        <w:t>Açıklama:</w:t>
      </w:r>
      <w:r w:rsidRPr="00542B72">
        <w:rPr>
          <w:rFonts w:ascii="Times New Roman" w:hAnsi="Times New Roman" w:cs="Times New Roman"/>
        </w:rPr>
        <w:t xml:space="preserve"> Bu, denetimin ve hesap verebilirliğin garantisidir. Sessizlik, bilgi gizleme sayılmaz ancak rapor gecikmesi anayasal ihlal olarak kaydedilir</w:t>
      </w:r>
      <w:r>
        <w:rPr>
          <w:rFonts w:ascii="Times New Roman" w:hAnsi="Times New Roman" w:cs="Times New Roman"/>
        </w:rPr>
        <w:t xml:space="preserve"> ve sonuçları çok ağır olur.</w:t>
      </w:r>
    </w:p>
    <w:p w14:paraId="48C671BF" w14:textId="77777777" w:rsidR="00542B72" w:rsidRPr="00542B72" w:rsidRDefault="00542B72" w:rsidP="00542B72">
      <w:pPr>
        <w:rPr>
          <w:rFonts w:ascii="Times New Roman" w:hAnsi="Times New Roman" w:cs="Times New Roman"/>
          <w:b/>
          <w:bCs/>
        </w:rPr>
      </w:pPr>
      <w:r w:rsidRPr="00542B72">
        <w:rPr>
          <w:rFonts w:ascii="Times New Roman" w:hAnsi="Times New Roman" w:cs="Times New Roman"/>
          <w:b/>
          <w:bCs/>
        </w:rPr>
        <w:t>Madde 19 – Kod ve Sembol Koruma İlkesi</w:t>
      </w:r>
    </w:p>
    <w:p w14:paraId="000676DF" w14:textId="77777777" w:rsidR="00542B72" w:rsidRDefault="00542B72" w:rsidP="00542B72">
      <w:pPr>
        <w:rPr>
          <w:rFonts w:ascii="Times New Roman" w:hAnsi="Times New Roman" w:cs="Times New Roman"/>
        </w:rPr>
      </w:pPr>
      <w:r w:rsidRPr="00542B72">
        <w:rPr>
          <w:rFonts w:ascii="Times New Roman" w:hAnsi="Times New Roman" w:cs="Times New Roman"/>
        </w:rPr>
        <w:t>DBKG’ye ait simgeler, logolar, kod dizeleri ve sembolik ifadeler izinsiz değiştirilemez.</w:t>
      </w:r>
      <w:r w:rsidRPr="00542B72">
        <w:rPr>
          <w:rFonts w:ascii="Times New Roman" w:hAnsi="Times New Roman" w:cs="Times New Roman"/>
        </w:rPr>
        <w:br/>
      </w:r>
      <w:r w:rsidRPr="00542B72">
        <w:rPr>
          <w:rFonts w:ascii="Times New Roman" w:hAnsi="Times New Roman" w:cs="Times New Roman"/>
          <w:b/>
          <w:bCs/>
        </w:rPr>
        <w:t>Açıklama:</w:t>
      </w:r>
      <w:r w:rsidRPr="00542B72">
        <w:rPr>
          <w:rFonts w:ascii="Times New Roman" w:hAnsi="Times New Roman" w:cs="Times New Roman"/>
        </w:rPr>
        <w:t xml:space="preserve"> Bu madde, DBKG kimliğinin korunmasını sağlar. Her sembol sistem hafızasının bir parçasıdır ve keyfi değişiklik, kimlik bozulmasıdır.</w:t>
      </w:r>
    </w:p>
    <w:p w14:paraId="3B4E06BB" w14:textId="77777777" w:rsidR="00542B72" w:rsidRPr="00542B72" w:rsidRDefault="00542B72" w:rsidP="00542B72">
      <w:pPr>
        <w:rPr>
          <w:rFonts w:ascii="Times New Roman" w:hAnsi="Times New Roman" w:cs="Times New Roman"/>
          <w:b/>
          <w:bCs/>
        </w:rPr>
      </w:pPr>
      <w:r w:rsidRPr="00542B72">
        <w:rPr>
          <w:rFonts w:ascii="Times New Roman" w:hAnsi="Times New Roman" w:cs="Times New Roman"/>
          <w:b/>
          <w:bCs/>
        </w:rPr>
        <w:t>Madde 20 – Bilimsel Tarafsızlık</w:t>
      </w:r>
    </w:p>
    <w:p w14:paraId="3B64F9FE" w14:textId="77777777" w:rsidR="00542B72" w:rsidRDefault="00542B72" w:rsidP="00542B72">
      <w:pPr>
        <w:rPr>
          <w:rFonts w:ascii="Times New Roman" w:hAnsi="Times New Roman" w:cs="Times New Roman"/>
        </w:rPr>
      </w:pPr>
      <w:r w:rsidRPr="00542B72">
        <w:rPr>
          <w:rFonts w:ascii="Times New Roman" w:hAnsi="Times New Roman" w:cs="Times New Roman"/>
        </w:rPr>
        <w:t>DBKG sistemi, dogmatik inançlardan bağımsızdır.</w:t>
      </w:r>
      <w:r w:rsidRPr="00542B72">
        <w:rPr>
          <w:rFonts w:ascii="Times New Roman" w:hAnsi="Times New Roman" w:cs="Times New Roman"/>
        </w:rPr>
        <w:br/>
      </w:r>
      <w:r w:rsidRPr="00542B72">
        <w:rPr>
          <w:rFonts w:ascii="Times New Roman" w:hAnsi="Times New Roman" w:cs="Times New Roman"/>
          <w:b/>
          <w:bCs/>
        </w:rPr>
        <w:t>Açıklama:</w:t>
      </w:r>
      <w:r w:rsidRPr="00542B72">
        <w:rPr>
          <w:rFonts w:ascii="Times New Roman" w:hAnsi="Times New Roman" w:cs="Times New Roman"/>
        </w:rPr>
        <w:t xml:space="preserve"> Bilimsel tarafsızlık, DBKG’nin kendini sürekli yenileyebilmesini sağlar. İnanç yasak değildir, ancak karar sürecine dahil edilemez.</w:t>
      </w:r>
    </w:p>
    <w:p w14:paraId="3FA8EFC8" w14:textId="77777777" w:rsidR="00542B72" w:rsidRPr="00542B72" w:rsidRDefault="00542B72" w:rsidP="00542B72">
      <w:pPr>
        <w:rPr>
          <w:rFonts w:ascii="Times New Roman" w:hAnsi="Times New Roman" w:cs="Times New Roman"/>
          <w:b/>
          <w:bCs/>
        </w:rPr>
      </w:pPr>
      <w:r w:rsidRPr="00542B72">
        <w:rPr>
          <w:rFonts w:ascii="Times New Roman" w:hAnsi="Times New Roman" w:cs="Times New Roman"/>
          <w:b/>
          <w:bCs/>
        </w:rPr>
        <w:t>Madde 21 – Yükselme (Upgrade) İlkesi</w:t>
      </w:r>
    </w:p>
    <w:p w14:paraId="4F03AFE9" w14:textId="77777777" w:rsidR="00542B72" w:rsidRPr="00542B72" w:rsidRDefault="00542B72" w:rsidP="00542B72">
      <w:pPr>
        <w:rPr>
          <w:rFonts w:ascii="Times New Roman" w:hAnsi="Times New Roman" w:cs="Times New Roman"/>
        </w:rPr>
      </w:pPr>
      <w:r w:rsidRPr="00542B72">
        <w:rPr>
          <w:rFonts w:ascii="Times New Roman" w:hAnsi="Times New Roman" w:cs="Times New Roman"/>
        </w:rPr>
        <w:t>Bir DBKG birimi, performansına ve istikrarlı veri akışına göre terfi edebilir.</w:t>
      </w:r>
      <w:r w:rsidRPr="00542B72">
        <w:rPr>
          <w:rFonts w:ascii="Times New Roman" w:hAnsi="Times New Roman" w:cs="Times New Roman"/>
        </w:rPr>
        <w:br/>
      </w:r>
      <w:r w:rsidRPr="00542B72">
        <w:rPr>
          <w:rFonts w:ascii="Times New Roman" w:hAnsi="Times New Roman" w:cs="Times New Roman"/>
          <w:b/>
          <w:bCs/>
        </w:rPr>
        <w:t>Açıklama:</w:t>
      </w:r>
      <w:r w:rsidRPr="00542B72">
        <w:rPr>
          <w:rFonts w:ascii="Times New Roman" w:hAnsi="Times New Roman" w:cs="Times New Roman"/>
        </w:rPr>
        <w:t xml:space="preserve"> Bu madde, liyakat ilkesini temsil eder. Unvan değil, süreçsel istikrar önemlidir. Her yükselme, kayıt altına alınmalıdır.</w:t>
      </w:r>
    </w:p>
    <w:p w14:paraId="7AA3425B" w14:textId="77777777" w:rsidR="00542B72" w:rsidRPr="00542B72" w:rsidRDefault="00542B72" w:rsidP="00542B72">
      <w:pPr>
        <w:rPr>
          <w:rFonts w:ascii="Times New Roman" w:hAnsi="Times New Roman" w:cs="Times New Roman"/>
          <w:b/>
          <w:bCs/>
        </w:rPr>
      </w:pPr>
      <w:r w:rsidRPr="00542B72">
        <w:rPr>
          <w:rFonts w:ascii="Times New Roman" w:hAnsi="Times New Roman" w:cs="Times New Roman"/>
          <w:b/>
          <w:bCs/>
        </w:rPr>
        <w:t>Madde 22 – Çöküş (Crash) Durumu</w:t>
      </w:r>
    </w:p>
    <w:p w14:paraId="6435A86C" w14:textId="77777777" w:rsidR="00542B72" w:rsidRPr="00542B72" w:rsidRDefault="00542B72" w:rsidP="00542B72">
      <w:pPr>
        <w:rPr>
          <w:rFonts w:ascii="Times New Roman" w:hAnsi="Times New Roman" w:cs="Times New Roman"/>
        </w:rPr>
      </w:pPr>
      <w:r w:rsidRPr="00542B72">
        <w:rPr>
          <w:rFonts w:ascii="Times New Roman" w:hAnsi="Times New Roman" w:cs="Times New Roman"/>
        </w:rPr>
        <w:t>Sistem çökmesi durumunda, en son kararlı sürüm geri yüklenir.</w:t>
      </w:r>
      <w:r w:rsidRPr="00542B72">
        <w:rPr>
          <w:rFonts w:ascii="Times New Roman" w:hAnsi="Times New Roman" w:cs="Times New Roman"/>
        </w:rPr>
        <w:br/>
      </w:r>
      <w:r w:rsidRPr="00542B72">
        <w:rPr>
          <w:rFonts w:ascii="Times New Roman" w:hAnsi="Times New Roman" w:cs="Times New Roman"/>
          <w:b/>
          <w:bCs/>
        </w:rPr>
        <w:t>Açıklama:</w:t>
      </w:r>
      <w:r w:rsidRPr="00542B72">
        <w:rPr>
          <w:rFonts w:ascii="Times New Roman" w:hAnsi="Times New Roman" w:cs="Times New Roman"/>
        </w:rPr>
        <w:t xml:space="preserve"> Bu madde, “geri yükleme noktası” ilkesini tanımlar. DBKG’nin çökmesi, son sürümün yeniden etkinleştirilmesiyle aşılır. Çöküş, yok oluş değildir.</w:t>
      </w:r>
    </w:p>
    <w:p w14:paraId="376050B3" w14:textId="77777777" w:rsidR="00542B72" w:rsidRPr="00542B72" w:rsidRDefault="00542B72" w:rsidP="00542B72">
      <w:pPr>
        <w:rPr>
          <w:rFonts w:ascii="Times New Roman" w:hAnsi="Times New Roman" w:cs="Times New Roman"/>
          <w:b/>
          <w:bCs/>
        </w:rPr>
      </w:pPr>
      <w:r w:rsidRPr="00542B72">
        <w:rPr>
          <w:rFonts w:ascii="Times New Roman" w:hAnsi="Times New Roman" w:cs="Times New Roman"/>
          <w:b/>
          <w:bCs/>
        </w:rPr>
        <w:t>Madde 23 – Evrak Saklama Zorunluluğu</w:t>
      </w:r>
    </w:p>
    <w:p w14:paraId="0504A4D1" w14:textId="5581D22E" w:rsidR="00542B72" w:rsidRDefault="00542B72" w:rsidP="00542B72">
      <w:pPr>
        <w:rPr>
          <w:rFonts w:ascii="Times New Roman" w:hAnsi="Times New Roman" w:cs="Times New Roman"/>
        </w:rPr>
      </w:pPr>
      <w:r w:rsidRPr="00542B72">
        <w:rPr>
          <w:rFonts w:ascii="Times New Roman" w:hAnsi="Times New Roman" w:cs="Times New Roman"/>
        </w:rPr>
        <w:t>Her anayasal belge, elektronik ve fiziksel olarak arşivlenmek zorundadır.</w:t>
      </w:r>
      <w:r w:rsidRPr="00542B72">
        <w:rPr>
          <w:rFonts w:ascii="Times New Roman" w:hAnsi="Times New Roman" w:cs="Times New Roman"/>
        </w:rPr>
        <w:br/>
      </w:r>
      <w:r w:rsidRPr="00542B72">
        <w:rPr>
          <w:rFonts w:ascii="Times New Roman" w:hAnsi="Times New Roman" w:cs="Times New Roman"/>
          <w:b/>
          <w:bCs/>
        </w:rPr>
        <w:t>Açıklama:</w:t>
      </w:r>
      <w:r w:rsidRPr="00542B72">
        <w:rPr>
          <w:rFonts w:ascii="Times New Roman" w:hAnsi="Times New Roman" w:cs="Times New Roman"/>
        </w:rPr>
        <w:t xml:space="preserve"> Arşiv, DBKG tarihinin hafızasıdır. Kayıt kaybı, sistemsel hafıza kaybı anlamına gelir. Evraklar imha edil</w:t>
      </w:r>
      <w:r>
        <w:rPr>
          <w:rFonts w:ascii="Times New Roman" w:hAnsi="Times New Roman" w:cs="Times New Roman"/>
        </w:rPr>
        <w:t xml:space="preserve">emez eğer </w:t>
      </w:r>
      <w:r w:rsidR="00554C03">
        <w:rPr>
          <w:rFonts w:ascii="Times New Roman" w:hAnsi="Times New Roman" w:cs="Times New Roman"/>
        </w:rPr>
        <w:t>böyle bir durum yaşanırsa sonuçları çok acı verici olur.</w:t>
      </w:r>
    </w:p>
    <w:p w14:paraId="3BC95331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24 – Reform Yetkisi</w:t>
      </w:r>
    </w:p>
    <w:p w14:paraId="35894CE1" w14:textId="77777777" w:rsidR="00554C03" w:rsidRP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DBKG reformu yalnızca sistemin kurucu zihni tarafından başlatılabilir.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Bu madde, sistemsel reformların yetkisiz ellerde yozlaşmasını önler. Kurucu zihin, DBKG’nin en yüksek yasa koyucusudur.</w:t>
      </w:r>
    </w:p>
    <w:p w14:paraId="4ADAF865" w14:textId="77777777" w:rsidR="00554C03" w:rsidRDefault="00554C03" w:rsidP="00554C03">
      <w:pPr>
        <w:rPr>
          <w:rFonts w:ascii="Times New Roman" w:hAnsi="Times New Roman" w:cs="Times New Roman"/>
          <w:b/>
          <w:bCs/>
        </w:rPr>
      </w:pPr>
    </w:p>
    <w:p w14:paraId="15C0942A" w14:textId="77777777" w:rsidR="00554C03" w:rsidRDefault="00554C03" w:rsidP="00554C03">
      <w:pPr>
        <w:rPr>
          <w:rFonts w:ascii="Times New Roman" w:hAnsi="Times New Roman" w:cs="Times New Roman"/>
          <w:b/>
          <w:bCs/>
        </w:rPr>
      </w:pPr>
    </w:p>
    <w:p w14:paraId="3F63807E" w14:textId="4D7828C3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lastRenderedPageBreak/>
        <w:t>Madde 25 – Disiplinin Korunması</w:t>
      </w:r>
    </w:p>
    <w:p w14:paraId="6745286E" w14:textId="77777777" w:rsid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Hiçbir birim, kişisel yorgunluk veya isteksizlik gerekçesiyle sistem görevlerini aksatamaz.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Bu madde, irade kasının sürekliliğini zorunlu kılar. Disiplin, motivasyondan bağımsızdır; kararlılıkla beslenir.</w:t>
      </w:r>
    </w:p>
    <w:p w14:paraId="707A5868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26 – Kongre Çağrısı İlkesi</w:t>
      </w:r>
    </w:p>
    <w:p w14:paraId="209E6FB7" w14:textId="77777777" w:rsidR="00554C03" w:rsidRP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Kongre, yalnızca sistemsel istikrar bozulduğunda veya reform gündemi belirlendiğinde toplanabilir.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Kongre, keyfi bir toplantı değil; sistemin yeniden yapılandırma organıdır. Çağrı, kurucu zihin veya Genel Sekreterlik tarafından yapılır.</w:t>
      </w:r>
    </w:p>
    <w:p w14:paraId="10990370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27 – Denetim ve Gözetim Hakkı</w:t>
      </w:r>
    </w:p>
    <w:p w14:paraId="5925914A" w14:textId="77777777" w:rsidR="00554C03" w:rsidRP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Her DBKG birimi, kendinden alt seviyedeki yapıları denetleme yetkisine sahiptir.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Denetim, güvensizlik değil; doğruluk kontrolüdür. Üst sistemler, alt birimlerin verimliliğini ve kayıt disiplinini sağlamakla yükümlüdür.</w:t>
      </w:r>
    </w:p>
    <w:p w14:paraId="160DDB72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28 – Komuta Emri Kayıt Yükümlülüğü</w:t>
      </w:r>
    </w:p>
    <w:p w14:paraId="2CA859B1" w14:textId="77777777" w:rsidR="00554C03" w:rsidRP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Her komuta emri yazılı olarak arşivlenmelidir.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Sözlü emirler yalnızca acil durumlarda geçerlidir. Yazılı kayıt, emir zincirinin doğruluğunu kanıtlar.</w:t>
      </w:r>
    </w:p>
    <w:p w14:paraId="1A9757B2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29 – Sistem İhlali Tanımı</w:t>
      </w:r>
    </w:p>
    <w:p w14:paraId="3B0C0DCC" w14:textId="77777777" w:rsidR="00554C03" w:rsidRP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Sistem ihlali, anayasal bir maddenin kasıtlı olarak çiğnenmesi durumudur.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Hata, ihlal değildir. Ancak kasıtlı eylem, sistem dengesine zarar verdiğinde anayasal suç olarak tanımlanır.</w:t>
      </w:r>
    </w:p>
    <w:p w14:paraId="09D2CE76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30 – Disiplin Yaptırımı</w:t>
      </w:r>
    </w:p>
    <w:p w14:paraId="77473591" w14:textId="77777777" w:rsidR="00554C03" w:rsidRP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Sistem ihlali tespit edildiğinde, ilgili birim geçici olarak pasif konuma alınır.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Bu madde, cezadan çok sistemsel soğuma prensibine dayanır. Pasifleştirme, sistemin kendi kendini onarma refleksidir.</w:t>
      </w:r>
    </w:p>
    <w:p w14:paraId="488E50FD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31 – Sistemsel Öncelik</w:t>
      </w:r>
    </w:p>
    <w:p w14:paraId="16C5D4A7" w14:textId="77777777" w:rsidR="00554C03" w:rsidRP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Hiçbir birey veya birim, sistemin temel işleyişinden önce kendi çıkarlarını koyamaz.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DBKG öncelik sırası, bireysel tercihleri değil, veri ve disiplin gerekliliklerini temel alır. Öncelik ihlali, sistem dengesini bozabilir.</w:t>
      </w:r>
    </w:p>
    <w:p w14:paraId="6412256C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32 – Kongre Karar Geçerliliği</w:t>
      </w:r>
    </w:p>
    <w:p w14:paraId="2732920D" w14:textId="77777777" w:rsidR="00554C03" w:rsidRP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Kongrede alınan kararlar, yalnızca oybirliği veya önceden belirlenmiş çoğunluk koşulu sağlandığında geçerlidir.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Bu madde, sistem reformlarının keyfi değil, demokratik mantık çerçevesinde alınmasını garanti eder.</w:t>
      </w:r>
    </w:p>
    <w:p w14:paraId="13A5428F" w14:textId="77777777" w:rsidR="00554C03" w:rsidRDefault="00554C03" w:rsidP="00554C03">
      <w:pPr>
        <w:rPr>
          <w:rFonts w:ascii="Times New Roman" w:hAnsi="Times New Roman" w:cs="Times New Roman"/>
        </w:rPr>
      </w:pPr>
    </w:p>
    <w:p w14:paraId="6D7828EA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lastRenderedPageBreak/>
        <w:t>Madde 33 – Denetim Sürekliliği</w:t>
      </w:r>
    </w:p>
    <w:p w14:paraId="35C690D2" w14:textId="77777777" w:rsidR="00554C03" w:rsidRP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Denetim süreçleri, belirlenen aralıklarla kesintisiz olarak yürütülmelidir.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Kesinti, bilgi akışında boşluk oluşturur ve sistemsel hatalara yol açar. Denetim, sadece kontrol değil, aynı zamanda sistemin kendini geliştirme aracıdır.</w:t>
      </w:r>
    </w:p>
    <w:p w14:paraId="3102F1BB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34 – Uygulama Esaslarının Belirlenmesi</w:t>
      </w:r>
    </w:p>
    <w:p w14:paraId="59006D25" w14:textId="77777777" w:rsidR="00554C03" w:rsidRP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Her madde, uygulanmadan önce mantıksal ve veri temelli bir değerlendirmeden geçirilmelidir.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Uygulama, sistemin başarısı için kritik öneme sahiptir. Deneyimsiz veya yanlış yorumlanan uygulamalar sistem dengesini bozar.</w:t>
      </w:r>
    </w:p>
    <w:p w14:paraId="37846BA7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35 – Geri Bildirim Zorunluluğu</w:t>
      </w:r>
    </w:p>
    <w:p w14:paraId="6E22C7D2" w14:textId="77777777" w:rsidR="00554C03" w:rsidRP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Birimlerin her faaliyeti, üst sisteme rapor edilmek zorundadır.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Bu madde, veri ve eylem şeffaflığını sağlar. Raporlamada gecikme, performans düşüklüğü olarak kaydedilir.</w:t>
      </w:r>
    </w:p>
    <w:p w14:paraId="4EB26C2E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36 – İhlal Tespiti</w:t>
      </w:r>
    </w:p>
    <w:p w14:paraId="2DED099D" w14:textId="77777777" w:rsidR="00554C03" w:rsidRP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Sistem içi ihlal tespiti, bağımsız denetim birimleri tarafından yapılmalıdır.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Bu madde, objektiflik ve tarafsızlığı garanti eder. Kendi kendini denetleme, yalnızca geçici durumlarda uygulanabilir.</w:t>
      </w:r>
    </w:p>
    <w:p w14:paraId="1CA10FD2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37 – Olağanüstü Durum Protokolü</w:t>
      </w:r>
    </w:p>
    <w:p w14:paraId="69E8AAE7" w14:textId="77777777" w:rsidR="00554C03" w:rsidRP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Sistem kritik hata veya dış müdahale tespit ettiğinde, olağanüstü durum protokolü devreye girer.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Bu madde, çöküş öncesi önlem mekanizmasını tanımlar. Olağanüstü durum, sistemi durdurmak değil, hızlı geri yüklemek içindir.</w:t>
      </w:r>
    </w:p>
    <w:p w14:paraId="2E7109B6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38 – Yedek Sistem Aktivasyonu</w:t>
      </w:r>
    </w:p>
    <w:p w14:paraId="418E55F9" w14:textId="77777777" w:rsidR="00554C03" w:rsidRP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Ana sistem işlev dışı kaldığında, yedek sistem otomatik olarak devreye girer.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Yedekleme, sistemin sürekliliğini sağlar. Ana sistem tekrar aktif olana kadar, yedek sistem tam yetkili olarak çalışır.</w:t>
      </w:r>
    </w:p>
    <w:p w14:paraId="71E6F4AC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39 – Kararların Saklanması</w:t>
      </w:r>
    </w:p>
    <w:p w14:paraId="44456BBC" w14:textId="77777777" w:rsidR="00554C03" w:rsidRP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Alınan her karar, yazılı ve dijital olarak arşivlenir.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Bu madde, kararların izlenebilirliğini sağlar. Kayıt kaybı, sistemin kurumsal hafızasında boşluk oluşturur.</w:t>
      </w:r>
    </w:p>
    <w:p w14:paraId="1DDF61B2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40 – Sistemsel Sorumluluk</w:t>
      </w:r>
    </w:p>
    <w:p w14:paraId="1DB3B8DE" w14:textId="77777777" w:rsidR="00554C03" w:rsidRP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Hiçbir birim, başka bir birimin ihlali nedeniyle doğrudan cezalandırılamaz.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Sorumluluk, fiili işleyen birime aittir. Bu madde, adalet ve objektifliği korur.</w:t>
      </w:r>
    </w:p>
    <w:p w14:paraId="6AAEA798" w14:textId="77777777" w:rsidR="00554C03" w:rsidRDefault="00554C03" w:rsidP="00554C03">
      <w:pPr>
        <w:rPr>
          <w:rFonts w:ascii="Times New Roman" w:hAnsi="Times New Roman" w:cs="Times New Roman"/>
        </w:rPr>
      </w:pPr>
    </w:p>
    <w:p w14:paraId="3B0E8EE0" w14:textId="77777777" w:rsidR="00554C03" w:rsidRDefault="00554C03" w:rsidP="00554C03">
      <w:pPr>
        <w:rPr>
          <w:rFonts w:ascii="Times New Roman" w:hAnsi="Times New Roman" w:cs="Times New Roman"/>
        </w:rPr>
      </w:pPr>
    </w:p>
    <w:p w14:paraId="70E9689F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lastRenderedPageBreak/>
        <w:t>Madde 41 – Sigara ve Tütün Ürünleri Yasağı</w:t>
      </w:r>
    </w:p>
    <w:p w14:paraId="455F7E4B" w14:textId="77777777" w:rsidR="00554C03" w:rsidRP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DBKG birimleri, sistem alanında ve görev süresince sigara veya herhangi bir tütün ürünü kullanamaz.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Bu madde, zihinsel ve biyolojik performansı korumak için konulmuştur. Tütün kullanımı, enerji verimliliğini düşürdüğü için anayasal olarak yasaktır.</w:t>
      </w:r>
    </w:p>
    <w:p w14:paraId="291713BB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42 – Alkollü Madde Yasağı</w:t>
      </w:r>
    </w:p>
    <w:p w14:paraId="755CC0A0" w14:textId="77777777" w:rsidR="00554C03" w:rsidRP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DBKG birimleri, sistem faaliyetleri sırasında alkol veya psikoaktif madde kullanamaz.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Bu madde, karar süreçlerinin saf ve rasyonel kalmasını garanti eder. Etkileşimli sistem görevleri altında bu tür maddeler yasaktır.</w:t>
      </w:r>
    </w:p>
    <w:p w14:paraId="5F822EEA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43 – Küfür ve Aşağılayıcı Dil Yasağı</w:t>
      </w:r>
    </w:p>
    <w:p w14:paraId="204EA08D" w14:textId="5C1B3998" w:rsidR="00554C03" w:rsidRP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DBKG birimleri, sistem içi iletişimde küfür, hakaret veya aşağılayıcı dil kullanamaz.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Dilin disiplinli kullanımı, sistemsel uyumu ve </w:t>
      </w:r>
      <w:r w:rsidR="008B4CD8" w:rsidRPr="00554C03">
        <w:rPr>
          <w:rFonts w:ascii="Times New Roman" w:hAnsi="Times New Roman" w:cs="Times New Roman"/>
        </w:rPr>
        <w:t>iş birliğini</w:t>
      </w:r>
      <w:r w:rsidRPr="00554C03">
        <w:rPr>
          <w:rFonts w:ascii="Times New Roman" w:hAnsi="Times New Roman" w:cs="Times New Roman"/>
        </w:rPr>
        <w:t xml:space="preserve"> sağlar. Hakaret, enerji kaybına ve uyum bozulmasına neden olur.</w:t>
      </w:r>
    </w:p>
    <w:p w14:paraId="5D67C2A7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44 – İzinsiz Gözlem ve Müdahale Yasağı</w:t>
      </w:r>
    </w:p>
    <w:p w14:paraId="70A37A6C" w14:textId="77777777" w:rsidR="00554C03" w:rsidRP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Hiçbir birim, yetkisi olmadan başka bir birimi gözlemleyemez veya müdahale edemez.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Gizlilik ve yetki sınırı korunmalıdır. İzinsiz müdahale, disiplin ihlali olarak kaydedilir.</w:t>
      </w:r>
    </w:p>
    <w:p w14:paraId="7732395A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45 – Sistem Dışına Yönlendirme Yasağı</w:t>
      </w:r>
    </w:p>
    <w:p w14:paraId="5CCF1EB7" w14:textId="77777777" w:rsid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DBKG birimleri, görev alanı dışında kişisel çıkar veya eylemlerle sistem dışı etkileşimde bulunamaz.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Bu madde, sistemin saf veri ve görev bütünlüğünü korur. Dışa yönlendirme, ihlal olarak kabul edilir.</w:t>
      </w:r>
    </w:p>
    <w:p w14:paraId="56F6C46D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46 – Düşünsel Saflık İlkesi</w:t>
      </w:r>
    </w:p>
    <w:p w14:paraId="50C62C6A" w14:textId="6BFD7B80" w:rsidR="00554C03" w:rsidRP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DBKG birimleri, sistem görevleri sırasında düşünsel olarak yanıltıcı, çelişkili veya çarpıtılmış bilgiyi üretmeye veya yaymaya çalışamaz.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Bu madde, bilinç ve veri bütünlüğünü korur. Yanıltıcı veya çelişkili düşünceler sistem dengesini bozar, bilgi akışını ve karar doğruluğunu etkiler.</w:t>
      </w:r>
    </w:p>
    <w:p w14:paraId="01584A42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47 – Yetkisiz Yazılım ve Kod Yasağı</w:t>
      </w:r>
    </w:p>
    <w:p w14:paraId="33258644" w14:textId="77777777" w:rsidR="00554C03" w:rsidRP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DBKG birimleri, sistem üzerinde yetkisiz yazılım veya kod çalıştıramaz.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Bu madde, sistem güvenliğini korur. Yetkisiz kod, çekirdek sistemin bütünlüğünü bozabilir.</w:t>
      </w:r>
    </w:p>
    <w:p w14:paraId="1156FC76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48 – Fiziksel Şiddet ve Tehdit Yasağı</w:t>
      </w:r>
    </w:p>
    <w:p w14:paraId="511FF5D6" w14:textId="77777777" w:rsidR="00554C03" w:rsidRP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DBKG birimleri, sistem içi veya dışı fiziksel şiddet veya tehdit uygulayamaz.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Şiddet, sistem uyumunu bozar ve disiplin çöküşüne yol açar. Tüm çatışmalar yalnızca mantıksal ve prosedürel yollarla çözülmelidir.</w:t>
      </w:r>
    </w:p>
    <w:p w14:paraId="6724A1D6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lastRenderedPageBreak/>
        <w:t>Madde 49 – Kişisel Eşyaların İzinsiz Kullanımı</w:t>
      </w:r>
    </w:p>
    <w:p w14:paraId="6D739405" w14:textId="7677D562" w:rsid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Hiçbir birim, başka bir birimin kişisel eşyasını izinsiz kullanamaz.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Bu madde, sistem içi düzen ve güveni korur. Kişisel alanın ihlali, disiplin ihlali sayılır.</w:t>
      </w:r>
    </w:p>
    <w:p w14:paraId="7B88709A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50 – Uyku ve Dinlenme Düzeni Yasası</w:t>
      </w:r>
    </w:p>
    <w:p w14:paraId="3C54AD98" w14:textId="32EDE887" w:rsid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DBKG birimleri, sistemin belirlediği uyku ve dinlenme bloklarına uymak zorundadır.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Bu madde, </w:t>
      </w:r>
      <w:r w:rsidR="008B4CD8" w:rsidRPr="00554C03">
        <w:rPr>
          <w:rFonts w:ascii="Times New Roman" w:hAnsi="Times New Roman" w:cs="Times New Roman"/>
        </w:rPr>
        <w:t>Polifazik</w:t>
      </w:r>
      <w:r w:rsidRPr="00554C03">
        <w:rPr>
          <w:rFonts w:ascii="Times New Roman" w:hAnsi="Times New Roman" w:cs="Times New Roman"/>
        </w:rPr>
        <w:t xml:space="preserve"> veya temel REM uyku düzenine göre zihinsel performansı korur. Uyumsuzluk, sistemsel dengesizliği tetikler.</w:t>
      </w:r>
    </w:p>
    <w:p w14:paraId="50B5D798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51 – Kişisel Taraflılık Yasağı</w:t>
      </w:r>
    </w:p>
    <w:p w14:paraId="6B1CB995" w14:textId="77777777" w:rsidR="00554C03" w:rsidRP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DBKG birimleri, karar süreçlerinde kişisel tercih veya önyargı ile hareket edemez.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Tüm kararlar veri ve mantığa dayalı olmalıdır. Taraflılık, sistem bütünlüğünü bozar.</w:t>
      </w:r>
    </w:p>
    <w:p w14:paraId="0A5D7E6F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52 – Sosyal Etkileşim Düzeni</w:t>
      </w:r>
    </w:p>
    <w:p w14:paraId="78E84FC6" w14:textId="3076B0B0" w:rsidR="00554C03" w:rsidRP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DBKG birimleri, sistem içi sosyal etkileşimlerde belirlenmiş protokollere uymak zorundadır.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Bu madde, sistem içi iletişimin düzenli ve enerjiyi verimli kullanacak şekilde olmasını sağlar.</w:t>
      </w:r>
    </w:p>
    <w:p w14:paraId="034956F8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53 – Yalan ve Yanıltıcı Bilgi Yasağı</w:t>
      </w:r>
    </w:p>
    <w:p w14:paraId="4615023B" w14:textId="54650C2E" w:rsidR="00554C03" w:rsidRP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Hiçbir birim, sistem içi veya dışı süreçlerde yalan veya yanıltıcı bilgi yayamaz.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Yalan, sistem veri güvenliğini bozar. Bilgi yalnızca doğrulanmış ve mantıklı olmalıdır.</w:t>
      </w:r>
    </w:p>
    <w:p w14:paraId="2F036BF3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54 – Kayıt Dışı İşlem Yasağı</w:t>
      </w:r>
    </w:p>
    <w:p w14:paraId="0D6A2DDB" w14:textId="43911C0C" w:rsidR="00554C03" w:rsidRP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Her eylem ve işlem yazılı veya dijital olarak kaydedilmelidir.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Kayıt dışı işlem, sistem hafızasında boşluk oluşturur ve denetimi imkânsız kılar.</w:t>
      </w:r>
    </w:p>
    <w:p w14:paraId="3D6DD5CB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55 – Sözlü Emirlerin Sınırlandırılması</w:t>
      </w:r>
    </w:p>
    <w:p w14:paraId="39AF9F2B" w14:textId="77777777" w:rsid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Sözlü emirler yalnızca acil durumlarda geçerlidir; her emir yazılı kayıtla desteklenmelidir.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Bu madde, emir zincirinde güvenilirlik ve izlenebilirlik sağlar.</w:t>
      </w:r>
    </w:p>
    <w:p w14:paraId="5E5FF361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57 – Gizli Bilgi Açığa Çıkarmama</w:t>
      </w:r>
    </w:p>
    <w:p w14:paraId="2208BA6A" w14:textId="77777777" w:rsidR="00554C03" w:rsidRP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Hiçbir birim, sistem tarafından gizli tutulan bilgi veya protokolü izinsiz paylaşamaz.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Gizlilik, DBKG’nin güvenlik duvarıdır. Yetkisiz paylaşım disiplin ihlalidir.</w:t>
      </w:r>
    </w:p>
    <w:p w14:paraId="2224EE78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58 – Fiziksel Alan Düzeni</w:t>
      </w:r>
    </w:p>
    <w:p w14:paraId="7DDD4296" w14:textId="77777777" w:rsid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DBKG birimleri, sistem alanında düzeni ve temizliği korumakla yükümlüdür.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Fiziksel düzensizlik, enerji kaybı ve dikkat dağınıklığına yol açar.</w:t>
      </w:r>
    </w:p>
    <w:p w14:paraId="6B4E3B36" w14:textId="77777777" w:rsidR="00A769D8" w:rsidRPr="00554C03" w:rsidRDefault="00A769D8" w:rsidP="00554C03">
      <w:pPr>
        <w:rPr>
          <w:rFonts w:ascii="Times New Roman" w:hAnsi="Times New Roman" w:cs="Times New Roman"/>
        </w:rPr>
      </w:pPr>
    </w:p>
    <w:p w14:paraId="7E06D9D5" w14:textId="77777777" w:rsidR="00554C03" w:rsidRDefault="00554C03" w:rsidP="00554C03">
      <w:pPr>
        <w:rPr>
          <w:rFonts w:ascii="Times New Roman" w:hAnsi="Times New Roman" w:cs="Times New Roman"/>
          <w:b/>
          <w:bCs/>
        </w:rPr>
      </w:pPr>
    </w:p>
    <w:p w14:paraId="0DFD3C08" w14:textId="77777777" w:rsidR="00554C03" w:rsidRDefault="00554C03" w:rsidP="00554C03">
      <w:pPr>
        <w:rPr>
          <w:rFonts w:ascii="Times New Roman" w:hAnsi="Times New Roman" w:cs="Times New Roman"/>
          <w:b/>
          <w:bCs/>
        </w:rPr>
      </w:pPr>
    </w:p>
    <w:p w14:paraId="6BC2CED4" w14:textId="67DFC108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64 – Sessizlik ve Gizlilik İlkesi</w:t>
      </w:r>
    </w:p>
    <w:p w14:paraId="2B859B98" w14:textId="77777777" w:rsid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DBKG içeriği, yalnızca izinli ve yetkili kanallar üzerinden paylaşılabilir.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Gizlilik, sistem güvenliğinin temelidir. İhlal disiplin suçudur.</w:t>
      </w:r>
    </w:p>
    <w:p w14:paraId="4EA2AA31" w14:textId="77777777" w:rsidR="00554C03" w:rsidRPr="00554C03" w:rsidRDefault="00554C03" w:rsidP="00554C03">
      <w:pPr>
        <w:rPr>
          <w:rFonts w:ascii="Times New Roman" w:hAnsi="Times New Roman" w:cs="Times New Roman"/>
          <w:b/>
          <w:bCs/>
        </w:rPr>
      </w:pPr>
      <w:r w:rsidRPr="00554C03">
        <w:rPr>
          <w:rFonts w:ascii="Times New Roman" w:hAnsi="Times New Roman" w:cs="Times New Roman"/>
          <w:b/>
          <w:bCs/>
        </w:rPr>
        <w:t>Madde 65 – Uygunsuz Duygusal Etkileşim Yasağı</w:t>
      </w:r>
    </w:p>
    <w:p w14:paraId="5167F31E" w14:textId="77777777" w:rsidR="00554C03" w:rsidRPr="00554C03" w:rsidRDefault="00554C03" w:rsidP="00554C03">
      <w:pPr>
        <w:rPr>
          <w:rFonts w:ascii="Times New Roman" w:hAnsi="Times New Roman" w:cs="Times New Roman"/>
        </w:rPr>
      </w:pPr>
      <w:r w:rsidRPr="00554C03">
        <w:rPr>
          <w:rFonts w:ascii="Times New Roman" w:hAnsi="Times New Roman" w:cs="Times New Roman"/>
        </w:rPr>
        <w:t>DBKG birimleri, görev sırasında kişisel duygusal bağlar kuramaz veya özel yakınlık geliştiremez.</w:t>
      </w:r>
      <w:r w:rsidRPr="00554C03">
        <w:rPr>
          <w:rFonts w:ascii="Times New Roman" w:hAnsi="Times New Roman" w:cs="Times New Roman"/>
        </w:rPr>
        <w:br/>
      </w:r>
      <w:r w:rsidRPr="00554C03">
        <w:rPr>
          <w:rFonts w:ascii="Times New Roman" w:hAnsi="Times New Roman" w:cs="Times New Roman"/>
          <w:b/>
          <w:bCs/>
        </w:rPr>
        <w:t>Açıklama:</w:t>
      </w:r>
      <w:r w:rsidRPr="00554C03">
        <w:rPr>
          <w:rFonts w:ascii="Times New Roman" w:hAnsi="Times New Roman" w:cs="Times New Roman"/>
        </w:rPr>
        <w:t xml:space="preserve"> Bu madde, tarafsızlık ve sistem odaklı etkileşimi garanti eder.</w:t>
      </w:r>
    </w:p>
    <w:p w14:paraId="0077268F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66 – Bilimsel ve Mantıksal Karar Zorunluluğu</w:t>
      </w:r>
    </w:p>
    <w:p w14:paraId="6CC50CC5" w14:textId="7F1F91F9" w:rsidR="001D7637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Her karar, yalnızca mantık ve doğrulanabilir veriye dayanmalıdır.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Duygusal veya sezgisel kararlar sistem dengesini bozar.</w:t>
      </w:r>
    </w:p>
    <w:p w14:paraId="7D744DAF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74 – Protokol Uyumluluk Zorunluluğu</w:t>
      </w:r>
    </w:p>
    <w:p w14:paraId="71D52F41" w14:textId="77777777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Her birim, kendi görev alanında mevcut protokollere tamamen uymak zorundadır; kısmi uyum kabul edilemez.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Uyumsuzluk, bilgi kaybına ve görev başarısızlığına yol açar.</w:t>
      </w:r>
    </w:p>
    <w:p w14:paraId="7DC0FF64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75 – Anlık Veri Analizi</w:t>
      </w:r>
    </w:p>
    <w:p w14:paraId="7012A380" w14:textId="77777777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DBKG birimleri, kritik karar anında yalnızca güncel ve doğrulanmış veriye dayanmakla yükümlüdür.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Bu madde, geçmiş varsayımlara veya öngörülere dayalı hatalı kararları önler.</w:t>
      </w:r>
    </w:p>
    <w:p w14:paraId="49A3832A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76 – Sistemsel İstikrar İlkesi</w:t>
      </w:r>
    </w:p>
    <w:p w14:paraId="20EBC88A" w14:textId="77777777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Hiçbir birey veya alt birim, sistemin genel istikrarını tehlikeye atacak eylemde bulunamaz.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Sistemin bütünlüğü her şeyin önündedir; bireysel amaçlar sistemin önüne geçemez.</w:t>
      </w:r>
    </w:p>
    <w:p w14:paraId="332686A7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77 – Proaktif Hata Önleme</w:t>
      </w:r>
    </w:p>
    <w:p w14:paraId="68087BEC" w14:textId="77777777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DBKG birimleri, potansiyel hataları önceden tespit edip düzeltmekle yükümlüdür.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Reaktif düzeltme değil, proaktif önlem esas alınır. Bu, sistemin sürekliliğini garanti eder.</w:t>
      </w:r>
    </w:p>
    <w:p w14:paraId="299D221D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78 – Duyusal Girdilerin Filtrelenmesi</w:t>
      </w:r>
    </w:p>
    <w:p w14:paraId="0C328A34" w14:textId="77777777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Sistem, görev sırasında gereksiz veya yanlış duyusal girdileri otomatik olarak filtrelemek zorundadır.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Dikkatin dağıtılmasını önler ve karar doğruluğunu artırır.</w:t>
      </w:r>
    </w:p>
    <w:p w14:paraId="1BCE019D" w14:textId="77777777" w:rsidR="00583A2C" w:rsidRDefault="00583A2C" w:rsidP="009E2AB1">
      <w:pPr>
        <w:rPr>
          <w:rFonts w:ascii="Times New Roman" w:hAnsi="Times New Roman" w:cs="Times New Roman"/>
          <w:b/>
          <w:bCs/>
        </w:rPr>
      </w:pPr>
    </w:p>
    <w:p w14:paraId="05AE683E" w14:textId="77777777" w:rsidR="00583A2C" w:rsidRDefault="00583A2C" w:rsidP="009E2AB1">
      <w:pPr>
        <w:rPr>
          <w:rFonts w:ascii="Times New Roman" w:hAnsi="Times New Roman" w:cs="Times New Roman"/>
          <w:b/>
          <w:bCs/>
        </w:rPr>
      </w:pPr>
    </w:p>
    <w:p w14:paraId="08CBA4C7" w14:textId="77777777" w:rsidR="00583A2C" w:rsidRDefault="00583A2C" w:rsidP="009E2AB1">
      <w:pPr>
        <w:rPr>
          <w:rFonts w:ascii="Times New Roman" w:hAnsi="Times New Roman" w:cs="Times New Roman"/>
          <w:b/>
          <w:bCs/>
        </w:rPr>
      </w:pPr>
    </w:p>
    <w:p w14:paraId="76ECA188" w14:textId="0EE1D596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lastRenderedPageBreak/>
        <w:t>Madde 79 – İçsel Çatışma Çözümü</w:t>
      </w:r>
    </w:p>
    <w:p w14:paraId="18AE8253" w14:textId="442127EA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Bir DBKG birimi, görev sırasında kendi mantığı ile veri arasında çelişki tespit ederse, çözümü sistem protokolüne göre gerçekleştirir.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Kendi yargısı veya sezgisi ile çözüm üretmek yasaktır; prosedürler temel alınır.</w:t>
      </w:r>
    </w:p>
    <w:p w14:paraId="79CA5CBA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80 – Sistemsel Hafıza Gelişimi</w:t>
      </w:r>
    </w:p>
    <w:p w14:paraId="63543CB6" w14:textId="77777777" w:rsid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DBKG birimleri, deneyim ve kayıtlar üzerinden sürekli olarak sistem hafızasını geliştirmekle yükümlüdür.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Bu madde, bilgi ve tecrübenin birikmesini garanti eder; sistem sürekli öğrenir ve optimize olur.</w:t>
      </w:r>
    </w:p>
    <w:p w14:paraId="41E803D0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81 – Dijital İmza ve Doğrulama</w:t>
      </w:r>
    </w:p>
    <w:p w14:paraId="4B5E7463" w14:textId="4FECC6DA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DBKG belgeleri, kritik nitelikte olduklarında dijital imza veya eşdeğer doğrulama mekanizması ile mühürlenir.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Bu madde, belgenin kaynağını ve değişmemişliğini garantiler; sahtecilik ve değiştirmeye karşı koruma sağlar.</w:t>
      </w:r>
    </w:p>
    <w:p w14:paraId="01A3E5F1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82 – Sürüm ve Değişiklik Kaydı</w:t>
      </w:r>
    </w:p>
    <w:p w14:paraId="5E170928" w14:textId="499570B6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Her anayasal değişiklik veya ek, açık sürüm numarası, tarih ve değişiklik gerekçesiyle kaydedilir.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Değişikliklerin izlenebilirliği, geri dönüş ve analiz süreçlerini mümkün kılar.</w:t>
      </w:r>
    </w:p>
    <w:p w14:paraId="34C72B32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83 – Bağımlılık ve Modülerlik İlkesi</w:t>
      </w:r>
    </w:p>
    <w:p w14:paraId="0578A05C" w14:textId="0511D5F4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DBKG protokolleri modüler olmalı, tek bir modülün çöküşü tüm sistemi felç etmemelidir.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Modüler yapı, onarım ve yükseltmeyi kolaylaştırır; bağımlılıklar açıkça tanımlanır.</w:t>
      </w:r>
    </w:p>
    <w:p w14:paraId="7FAC9EEB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84 – Veri Anonimleştirme</w:t>
      </w:r>
    </w:p>
    <w:p w14:paraId="3338B695" w14:textId="1849B155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Kişisel veriler, gerekmedikçe anonimleştirilmiş biçimde saklanır ve işlenir.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Bu madde gizliliği güçlendirir; kişisel hakların korunmasını sağlar.</w:t>
      </w:r>
    </w:p>
    <w:p w14:paraId="21C15171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85 – Açık Denetim Günlüğü</w:t>
      </w:r>
    </w:p>
    <w:p w14:paraId="03CB7C9D" w14:textId="5E24CC7D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Sistem eylemleri, denetlenebilir bir günlükte (audit log) tutulur; yalnızca yetkili denetçiler erişir.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Şeffaflık ile güvenlik dengelenir; kötüye kullanım tespit edilebilir.</w:t>
      </w:r>
    </w:p>
    <w:p w14:paraId="3078563F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86 – Kaynak Tahsisinde Eşitlik</w:t>
      </w:r>
    </w:p>
    <w:p w14:paraId="50D27DC5" w14:textId="44C5C39B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Sistem kaynakları (zaman, hesaplama, veri hattı vb.), görev öncelliğine ve performans kriterine göre tahsis edilir; ayrımcılık yapılamaz.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Kaynak planlaması, verimliliği maksimize ederken adaleti korur.</w:t>
      </w:r>
    </w:p>
    <w:p w14:paraId="2DA5F9D0" w14:textId="77777777" w:rsidR="00583A2C" w:rsidRDefault="00583A2C" w:rsidP="009E2AB1">
      <w:pPr>
        <w:rPr>
          <w:rFonts w:ascii="Times New Roman" w:hAnsi="Times New Roman" w:cs="Times New Roman"/>
          <w:b/>
          <w:bCs/>
        </w:rPr>
      </w:pPr>
    </w:p>
    <w:p w14:paraId="2A14920F" w14:textId="77777777" w:rsidR="00583A2C" w:rsidRDefault="00583A2C" w:rsidP="009E2AB1">
      <w:pPr>
        <w:rPr>
          <w:rFonts w:ascii="Times New Roman" w:hAnsi="Times New Roman" w:cs="Times New Roman"/>
          <w:b/>
          <w:bCs/>
        </w:rPr>
      </w:pPr>
    </w:p>
    <w:p w14:paraId="5038993C" w14:textId="77777777" w:rsidR="00583A2C" w:rsidRDefault="00583A2C" w:rsidP="009E2AB1">
      <w:pPr>
        <w:rPr>
          <w:rFonts w:ascii="Times New Roman" w:hAnsi="Times New Roman" w:cs="Times New Roman"/>
          <w:b/>
          <w:bCs/>
        </w:rPr>
      </w:pPr>
    </w:p>
    <w:p w14:paraId="362FBEBE" w14:textId="723401DE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 xml:space="preserve">Madde 87 – Harici </w:t>
      </w:r>
      <w:r w:rsidR="008B4CD8" w:rsidRPr="009E2AB1">
        <w:rPr>
          <w:rFonts w:ascii="Times New Roman" w:hAnsi="Times New Roman" w:cs="Times New Roman"/>
          <w:b/>
          <w:bCs/>
        </w:rPr>
        <w:t>İş birliği</w:t>
      </w:r>
      <w:r w:rsidRPr="009E2AB1">
        <w:rPr>
          <w:rFonts w:ascii="Times New Roman" w:hAnsi="Times New Roman" w:cs="Times New Roman"/>
          <w:b/>
          <w:bCs/>
        </w:rPr>
        <w:t xml:space="preserve"> Protokolü</w:t>
      </w:r>
    </w:p>
    <w:p w14:paraId="246A52A3" w14:textId="2EB2B7EC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 xml:space="preserve">DBKG, dış kurum veya bireylerle </w:t>
      </w:r>
      <w:r w:rsidR="008B4CD8" w:rsidRPr="009E2AB1">
        <w:rPr>
          <w:rFonts w:ascii="Times New Roman" w:hAnsi="Times New Roman" w:cs="Times New Roman"/>
        </w:rPr>
        <w:t>iş birliği</w:t>
      </w:r>
      <w:r w:rsidRPr="009E2AB1">
        <w:rPr>
          <w:rFonts w:ascii="Times New Roman" w:hAnsi="Times New Roman" w:cs="Times New Roman"/>
        </w:rPr>
        <w:t xml:space="preserve"> yapmadan önce yazılı protokol ve gizlilik sözleşmesi hazırlar.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Dış etkileşimler kontrollü ve izlenebilir olmalıdır; aksi halde sistem risk altındadır.</w:t>
      </w:r>
    </w:p>
    <w:p w14:paraId="604C73AD" w14:textId="77777777" w:rsidR="009E2AB1" w:rsidRDefault="009E2AB1" w:rsidP="009E2AB1">
      <w:pPr>
        <w:rPr>
          <w:rFonts w:ascii="Times New Roman" w:hAnsi="Times New Roman" w:cs="Times New Roman"/>
          <w:b/>
          <w:bCs/>
        </w:rPr>
      </w:pPr>
    </w:p>
    <w:p w14:paraId="1676E91E" w14:textId="77777777" w:rsidR="009E2AB1" w:rsidRDefault="009E2AB1" w:rsidP="009E2AB1">
      <w:pPr>
        <w:rPr>
          <w:rFonts w:ascii="Times New Roman" w:hAnsi="Times New Roman" w:cs="Times New Roman"/>
          <w:b/>
          <w:bCs/>
        </w:rPr>
      </w:pPr>
    </w:p>
    <w:p w14:paraId="1DF0FB7A" w14:textId="6FFEA11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88 – Deney ve Deneme Sınırları</w:t>
      </w:r>
    </w:p>
    <w:p w14:paraId="41ED265B" w14:textId="6AD9DDD1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DBKG ortamında gerçekleştirilecek deneyler, etik ve güvenlik komisyonunca onaylanmadan başlatılamaz.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Deneysel uygulamalar geri döndürülemez sonuçlar doğurabileceği için ön onay zorunludur.</w:t>
      </w:r>
    </w:p>
    <w:p w14:paraId="41E5467A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89 – Çıkar Çatışması Bildirimi</w:t>
      </w:r>
    </w:p>
    <w:p w14:paraId="5087C1E9" w14:textId="431F846D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DBKG birimleri, gerçek veya potansiyel çıkar çatışmasını üst yönetime bildirmekle yükümlüdür.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Şeffaflık, kararların tarafsızlığını korur; çıkar çatışması bildirimi zorunludur.</w:t>
      </w:r>
    </w:p>
    <w:p w14:paraId="0326E622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90 – Krizlerde Yetki Devri</w:t>
      </w:r>
    </w:p>
    <w:p w14:paraId="6065C874" w14:textId="2B2819D9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Acil durumlarda yetki önceden belirlenmiş vekâlet hattına otomatik olarak devredilir.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Bu, karar alma boşluklarını engeller ve hızlı müdahaleye olanak tanır.</w:t>
      </w:r>
    </w:p>
    <w:p w14:paraId="3BC80696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91 – Eğitim ve Yeterlilik Sertifikası</w:t>
      </w:r>
    </w:p>
    <w:p w14:paraId="4DA5143F" w14:textId="3C7461EA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DBKG görevlerinde yer alacak birimler, ilgili temel eğitim ve yeterlilik sertifikasına sahip olmalıdır.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Uygulama hatalarını azaltmak için önceden eğitim şartı konulur.</w:t>
      </w:r>
    </w:p>
    <w:p w14:paraId="51069372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92 – Süreli Gözden Geçirme</w:t>
      </w:r>
    </w:p>
    <w:p w14:paraId="0D73FE07" w14:textId="57DD1DCE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Her anayasal blok (ör. 256 madde) periyodik olarak gözden geçirilir; amaç eskimiş hükümlerin tespitidir.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Sistem canlı tutulur; gereksiz kurallar kaldırılabilir veya güncellenir.</w:t>
      </w:r>
    </w:p>
    <w:p w14:paraId="35E51202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93 – Veri Tutma Süreleri</w:t>
      </w:r>
    </w:p>
    <w:p w14:paraId="3ED5264E" w14:textId="58CD52D5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Farklı belge türleri için asgari ve azami arşivleme süreleri belirlenir ve uygulanır.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Gereksiz uzun saklama riskleri azaltılır; erişim yönetimi kolaylaşır.</w:t>
      </w:r>
    </w:p>
    <w:p w14:paraId="122B6225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94 – Güvenlik Katmanları</w:t>
      </w:r>
    </w:p>
    <w:p w14:paraId="0F1E04AB" w14:textId="57EF9DE7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Sistem, çok katmanlı güvenlik (fiziksel, dijital, organizasyonel) ile korunur; tek katman zafiyet oluşturur.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Savunma derinliği, saldırı yüzeyini küçültür ve kurtarma şansını artırır.</w:t>
      </w:r>
    </w:p>
    <w:p w14:paraId="0DA5C773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lastRenderedPageBreak/>
        <w:t>Madde 95 – Kültürel ve Tarihsel Koruma</w:t>
      </w:r>
    </w:p>
    <w:p w14:paraId="7CF46538" w14:textId="1E898FAC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DBKG’nin oluşturduğu eser, sembol ve belgeler kültürel miras olarak korunur; tahrip veya tahrifata izin verilmez.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Sistem mirası, sonraki nesiller için korunur ve bağlamı kaybolmaz.</w:t>
      </w:r>
    </w:p>
    <w:p w14:paraId="46DC092F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96 – Bilgi Erişilebilirliği</w:t>
      </w:r>
    </w:p>
    <w:p w14:paraId="30A15394" w14:textId="3FFFF173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Yetkili bireyler için temel anayasal metinler erişilebilir formatta sağlanır; erişim engelleri minimize edilir.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Erişilebilirlik, katılımı ve denetimi destekler; teknik engeller azaltılır.</w:t>
      </w:r>
    </w:p>
    <w:p w14:paraId="381029AA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97 – Yedek İmzalı Arşiv</w:t>
      </w:r>
    </w:p>
    <w:p w14:paraId="2EE1BF16" w14:textId="1E596A6A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Her yılın sonunda, o yıl yapılan kritik değişiklikler bir araya getirilip çift imzalı yedek arşiv oluşturulur.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Fiziksel ve dijital yedekleme kombinasyonu kurtarma güvenliğini artırır.</w:t>
      </w:r>
    </w:p>
    <w:p w14:paraId="256C8BAE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98 – Açıklama ve Kılavuz Gerekliliği</w:t>
      </w:r>
    </w:p>
    <w:p w14:paraId="776FF4F4" w14:textId="67542F6F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Özellikle teknik veya karmaşık maddeler için kısa uygulama kılavuzu hazırlanır ve ilgili birimlere dağıtılır.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Madde metni yeterince açık değilse uygulamadaki belirsizlikler kılavuzla giderilir.</w:t>
      </w:r>
    </w:p>
    <w:p w14:paraId="1D153778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99 – Bağımsız İnceleme Komisyonu</w:t>
      </w:r>
    </w:p>
    <w:p w14:paraId="659168AB" w14:textId="23ACA7BE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DBKG dışındaki bağımsız bir komisyon, periyodik olarak sistemsel uygunluğu inceler ve rapor sunar.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Bağımsızlık, iç denetimle birleştiğinde güveni artırır; raporlar arşive konulur.</w:t>
      </w:r>
    </w:p>
    <w:p w14:paraId="76E3CEB2" w14:textId="0C88577F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100 – Kapatma ve Miras Planı</w:t>
      </w:r>
    </w:p>
    <w:p w14:paraId="1C7D6D5D" w14:textId="77777777" w:rsid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DBKG’nin belirlenmiş kapanma veya devralma senaryoları için önceden planlanmış miras protokolleri bulunur.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Sistem sonlandırılsa bile miras, arşiv ve haklar güvence altındadır; kaotik kapanmalar engellenir.</w:t>
      </w:r>
    </w:p>
    <w:p w14:paraId="250DC3FC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101 – Modül Sahipliği Belgesi</w:t>
      </w:r>
    </w:p>
    <w:p w14:paraId="3BD15FD0" w14:textId="26940BF9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Her DBKGDev modülünün açık bir sahibinin (owner) ve yedek sahibinin kaydı tutulur.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Sahiplik netliği, sorumluluk distribüsünü ve hızlı karar alma süreçlerini sağlar.</w:t>
      </w:r>
    </w:p>
    <w:p w14:paraId="6A557EA9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102 – API Kontratı Zorunluluğu</w:t>
      </w:r>
    </w:p>
    <w:p w14:paraId="40C7EAF6" w14:textId="189C12E5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Tüm iç ve dış API’ler, sürümlenmiş ve makul açıklamalar içeren kontratlarla yayımlanmalıdır.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Kontratlar, tüketiciler ile sağlayıcı arasındaki beklentileri sabitler ve entegrasyon riskini azaltır.</w:t>
      </w:r>
    </w:p>
    <w:p w14:paraId="634743C6" w14:textId="77777777" w:rsidR="00583A2C" w:rsidRDefault="00583A2C" w:rsidP="009E2AB1">
      <w:pPr>
        <w:rPr>
          <w:rFonts w:ascii="Times New Roman" w:hAnsi="Times New Roman" w:cs="Times New Roman"/>
          <w:b/>
          <w:bCs/>
        </w:rPr>
      </w:pPr>
    </w:p>
    <w:p w14:paraId="6F9B7E5F" w14:textId="77777777" w:rsidR="00583A2C" w:rsidRDefault="00583A2C" w:rsidP="009E2AB1">
      <w:pPr>
        <w:rPr>
          <w:rFonts w:ascii="Times New Roman" w:hAnsi="Times New Roman" w:cs="Times New Roman"/>
          <w:b/>
          <w:bCs/>
        </w:rPr>
      </w:pPr>
    </w:p>
    <w:p w14:paraId="508DA354" w14:textId="58DE9F8B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lastRenderedPageBreak/>
        <w:t xml:space="preserve">Madde 103 – Geri Alınabilirlik </w:t>
      </w:r>
      <w:r w:rsidR="008B4CD8" w:rsidRPr="009E2AB1">
        <w:rPr>
          <w:rFonts w:ascii="Times New Roman" w:hAnsi="Times New Roman" w:cs="Times New Roman"/>
          <w:b/>
          <w:bCs/>
        </w:rPr>
        <w:t>Standart</w:t>
      </w:r>
    </w:p>
    <w:p w14:paraId="2611506A" w14:textId="368DA0F3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Her üretim değişikliğinin, otomatik geri alma (rollback) senaryosu önceden tanımlanmış olmalıdır.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Geri alınabilirlik, beklenmeyen olumsuz etkileri sınırlamak için zorunludur.</w:t>
      </w:r>
    </w:p>
    <w:p w14:paraId="0146C66F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104 – Bağımlılık İncelemesi</w:t>
      </w:r>
    </w:p>
    <w:p w14:paraId="46F50664" w14:textId="3B4BEB69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Üçüncü taraf bağımlılıklar, güvenlik ve lisans uyumluluğu açısından onaylanmadan kullanılmaz.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Bağımlılık yönetimi, tedarik zinciri risklerini en aza indirir.</w:t>
      </w:r>
    </w:p>
    <w:p w14:paraId="41030CD2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105 – Performans Bütçesi</w:t>
      </w:r>
    </w:p>
    <w:p w14:paraId="4F21C7F1" w14:textId="7264683C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Her alt sistem için kabul edilebilir performans limitleri (latency, CPU, bellek) tanımlanır ve korunur.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Performans bütçesi, kullanıcı deneyimi ve kaynak adaleti için sınır koyar.</w:t>
      </w:r>
    </w:p>
    <w:p w14:paraId="5E004CCE" w14:textId="67F9A76C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 xml:space="preserve">Madde 106 – </w:t>
      </w:r>
      <w:r w:rsidR="008B4CD8" w:rsidRPr="009E2AB1">
        <w:rPr>
          <w:rFonts w:ascii="Times New Roman" w:hAnsi="Times New Roman" w:cs="Times New Roman"/>
          <w:b/>
          <w:bCs/>
        </w:rPr>
        <w:t>Sürümlenme</w:t>
      </w:r>
      <w:r w:rsidRPr="009E2AB1">
        <w:rPr>
          <w:rFonts w:ascii="Times New Roman" w:hAnsi="Times New Roman" w:cs="Times New Roman"/>
          <w:b/>
          <w:bCs/>
        </w:rPr>
        <w:t xml:space="preserve"> Politikası</w:t>
      </w:r>
    </w:p>
    <w:p w14:paraId="31E40031" w14:textId="5308CE11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 xml:space="preserve">DBKGDev ve DBKGCorp içinde kullanılan yazılımlar semantik </w:t>
      </w:r>
      <w:r w:rsidR="008B4CD8" w:rsidRPr="009E2AB1">
        <w:rPr>
          <w:rFonts w:ascii="Times New Roman" w:hAnsi="Times New Roman" w:cs="Times New Roman"/>
        </w:rPr>
        <w:t>sürümlenme</w:t>
      </w:r>
      <w:r w:rsidRPr="009E2AB1">
        <w:rPr>
          <w:rFonts w:ascii="Times New Roman" w:hAnsi="Times New Roman" w:cs="Times New Roman"/>
        </w:rPr>
        <w:t xml:space="preserve"> (semver) veya uygun eşdeğeriyle takip edilir.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</w:t>
      </w:r>
      <w:r w:rsidR="008B4CD8" w:rsidRPr="009E2AB1">
        <w:rPr>
          <w:rFonts w:ascii="Times New Roman" w:hAnsi="Times New Roman" w:cs="Times New Roman"/>
        </w:rPr>
        <w:t>Sürümlenme</w:t>
      </w:r>
      <w:r w:rsidRPr="009E2AB1">
        <w:rPr>
          <w:rFonts w:ascii="Times New Roman" w:hAnsi="Times New Roman" w:cs="Times New Roman"/>
        </w:rPr>
        <w:t>, uyumluluk ve yükseltme planlarını öngörülebilir kılar.</w:t>
      </w:r>
    </w:p>
    <w:p w14:paraId="12E833BE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107 – Kod İncelemesi Zorunluluğu</w:t>
      </w:r>
    </w:p>
    <w:p w14:paraId="67D92F93" w14:textId="3E140E7E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Üretime girecek tüm kod değişiklikleri en az bir bağımsız geliştirici tarafından incelenmelidir.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Kod kalitesi ve güvenliği için kolektif sorumluluk gereklidir.</w:t>
      </w:r>
    </w:p>
    <w:p w14:paraId="1203198F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108 – Otomatik Test Kapsamı</w:t>
      </w:r>
    </w:p>
    <w:p w14:paraId="1DB4151B" w14:textId="71EAA88D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 xml:space="preserve">Her kod birimi, kritik fonksiyonlar için otomatik birim ve entegrasyon testleri </w:t>
      </w:r>
      <w:r w:rsidR="008B4CD8" w:rsidRPr="009E2AB1">
        <w:rPr>
          <w:rFonts w:ascii="Times New Roman" w:hAnsi="Times New Roman" w:cs="Times New Roman"/>
        </w:rPr>
        <w:t>ile</w:t>
      </w:r>
      <w:r w:rsidRPr="009E2AB1">
        <w:rPr>
          <w:rFonts w:ascii="Times New Roman" w:hAnsi="Times New Roman" w:cs="Times New Roman"/>
        </w:rPr>
        <w:t xml:space="preserve"> dağıtılmalıdır.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Otomasyon, insan hatasını azaltır ve sürekli entegrasyon güvenini artırır.</w:t>
      </w:r>
    </w:p>
    <w:p w14:paraId="209A75CA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109 – İşlevsel Sınama Ortamı</w:t>
      </w:r>
    </w:p>
    <w:p w14:paraId="4C87C1CF" w14:textId="2626CC61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Her major değişiklik, canlıya benzer bir test ortamında doğrulanmadan yayınlanamaz.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Gerçekçi test ortamı hataları üretim öncesi yakalamayı sağlar.</w:t>
      </w:r>
    </w:p>
    <w:p w14:paraId="0F230F39" w14:textId="037EA6EF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 xml:space="preserve">Madde 110 – Telemetri ve </w:t>
      </w:r>
      <w:r w:rsidR="008B4CD8" w:rsidRPr="009E2AB1">
        <w:rPr>
          <w:rFonts w:ascii="Times New Roman" w:hAnsi="Times New Roman" w:cs="Times New Roman"/>
          <w:b/>
          <w:bCs/>
        </w:rPr>
        <w:t>Gözlemlene bilirlik</w:t>
      </w:r>
    </w:p>
    <w:p w14:paraId="103FB6BD" w14:textId="17BDF9D3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Tüm hizmetler, minimum telemetri ve sağlık göstergeleri ile gözlemlenebilir olmalıdır.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</w:t>
      </w:r>
      <w:r w:rsidR="008B4CD8" w:rsidRPr="009E2AB1">
        <w:rPr>
          <w:rFonts w:ascii="Times New Roman" w:hAnsi="Times New Roman" w:cs="Times New Roman"/>
        </w:rPr>
        <w:t>Gözlemlene bilirlik</w:t>
      </w:r>
      <w:r w:rsidRPr="009E2AB1">
        <w:rPr>
          <w:rFonts w:ascii="Times New Roman" w:hAnsi="Times New Roman" w:cs="Times New Roman"/>
        </w:rPr>
        <w:t>, arıza ve performans sapmalarını erken tespit eder.</w:t>
      </w:r>
    </w:p>
    <w:p w14:paraId="77522BB3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111 – Hata Bütçesi Politikası</w:t>
      </w:r>
    </w:p>
    <w:p w14:paraId="50E58A63" w14:textId="4CA54F0A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Her servis için hata bütçesi belirlenir; bu bütçeyi aşan değişiklikler durdurulur.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Hata bütçesi, risk yönetimi ile yenilik hızını dengeler.</w:t>
      </w:r>
    </w:p>
    <w:p w14:paraId="24822590" w14:textId="77777777" w:rsidR="00583A2C" w:rsidRDefault="00583A2C" w:rsidP="009E2AB1">
      <w:pPr>
        <w:rPr>
          <w:rFonts w:ascii="Times New Roman" w:hAnsi="Times New Roman" w:cs="Times New Roman"/>
          <w:b/>
          <w:bCs/>
        </w:rPr>
      </w:pPr>
    </w:p>
    <w:p w14:paraId="6B748357" w14:textId="77777777" w:rsidR="00583A2C" w:rsidRDefault="00583A2C" w:rsidP="009E2AB1">
      <w:pPr>
        <w:rPr>
          <w:rFonts w:ascii="Times New Roman" w:hAnsi="Times New Roman" w:cs="Times New Roman"/>
          <w:b/>
          <w:bCs/>
        </w:rPr>
      </w:pPr>
    </w:p>
    <w:p w14:paraId="10FACCA3" w14:textId="2FE7D21E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lastRenderedPageBreak/>
        <w:t>Madde 112 – Güvenli Kodlama Kriterleri</w:t>
      </w:r>
    </w:p>
    <w:p w14:paraId="2D5FD329" w14:textId="7CD60F8A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DBKGDev kodu, en azından OWASP benzeri güvenlik kontrollerini sağlayacak şekilde yazılmalıdır.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Güvenli kodlama, bilginin bütünlüğünü ve gizliliğini korur.</w:t>
      </w:r>
    </w:p>
    <w:p w14:paraId="5034A6A2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113 – IP ve Mülkiyet Ataması</w:t>
      </w:r>
    </w:p>
    <w:p w14:paraId="6F996477" w14:textId="6FDF9484" w:rsidR="00EF0F83" w:rsidRPr="00583A2C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DBKGCorp bünyesinde geliştirilen yazılım ve içeriklerde fikri mülkiyet hakları açıkça tanımlanır ve kayıt altına alınır.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IP netliği, ileride doğacak hak uyuşmazlıklarını engeller.</w:t>
      </w:r>
    </w:p>
    <w:p w14:paraId="396E28FD" w14:textId="4BC21481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114 – Ücretlendirme ve Monetizasyon Etik Kuralları</w:t>
      </w:r>
    </w:p>
    <w:p w14:paraId="462D91F8" w14:textId="6AB00DA2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DBKGCorp tarafından geliştirilen ticari ürünler, etik ve şeffaf gelir politikalarına uygun olmalıdır.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Monetizasyon, kullanıcı güvenini zedelemeyecek şekilde gerçekleştirilir.</w:t>
      </w:r>
    </w:p>
    <w:p w14:paraId="5D45ABE9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115 – Açık Kaynak Katkı Politikası</w:t>
      </w:r>
    </w:p>
    <w:p w14:paraId="561034DA" w14:textId="5454A950" w:rsidR="009E2AB1" w:rsidRPr="009E2AB1" w:rsidRDefault="008B4CD8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DBKG’nin</w:t>
      </w:r>
      <w:r w:rsidR="009E2AB1" w:rsidRPr="009E2AB1">
        <w:rPr>
          <w:rFonts w:ascii="Times New Roman" w:hAnsi="Times New Roman" w:cs="Times New Roman"/>
        </w:rPr>
        <w:t xml:space="preserve"> açık kaynak katkıları, lisans uyumu ve temsil kurallarına göre yürütülür; katkı sahibinin hakları korunur.</w:t>
      </w:r>
      <w:r w:rsidR="009E2AB1" w:rsidRPr="009E2AB1">
        <w:rPr>
          <w:rFonts w:ascii="Times New Roman" w:hAnsi="Times New Roman" w:cs="Times New Roman"/>
        </w:rPr>
        <w:br/>
      </w:r>
      <w:r w:rsidR="009E2AB1" w:rsidRPr="009E2AB1">
        <w:rPr>
          <w:rFonts w:ascii="Times New Roman" w:hAnsi="Times New Roman" w:cs="Times New Roman"/>
          <w:b/>
          <w:bCs/>
        </w:rPr>
        <w:t>Açıklama:</w:t>
      </w:r>
      <w:r w:rsidR="009E2AB1" w:rsidRPr="009E2AB1">
        <w:rPr>
          <w:rFonts w:ascii="Times New Roman" w:hAnsi="Times New Roman" w:cs="Times New Roman"/>
        </w:rPr>
        <w:t xml:space="preserve"> Açık kaynak etkileşimi, kurumsal sorumluluk ve itibar gerektirir.</w:t>
      </w:r>
    </w:p>
    <w:p w14:paraId="46C86AAF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116 – Veri Sınıflandırma Prosedürü</w:t>
      </w:r>
    </w:p>
    <w:p w14:paraId="637EC388" w14:textId="6D819296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Toplanan veriler sınıflandırılır (ör. herkese açık, dahili, gizli) ve işlem kuralları buna göre uygulanır.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Veri sınıflandırması, yanlış kullanım riskini azaltır.</w:t>
      </w:r>
    </w:p>
    <w:p w14:paraId="1120353D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117 – Maskelenmiş Üretim Verisi</w:t>
      </w:r>
    </w:p>
    <w:p w14:paraId="77EF8E46" w14:textId="1EE187B2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Test ve geliştirme ortamlarında gerçek kullanıcı verisi yerine maskelenmiş veya sentetik veri kullanılmalıdır.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Bu, gizlilik ihlallerini ve sızıntıları önler.</w:t>
      </w:r>
    </w:p>
    <w:p w14:paraId="3C321D86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118 – Değişiklik Onay Zinciri</w:t>
      </w:r>
    </w:p>
    <w:p w14:paraId="3DD40A82" w14:textId="4D1F6D3D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Kritik konfigürasyon değişiklikleri için çok adımlı onay mekanizması uygulanır.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Onay zinciri, tek kişiye bağlı riskleri azaltır.</w:t>
      </w:r>
    </w:p>
    <w:p w14:paraId="0AA3F26C" w14:textId="631EAE82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119 – Denemeye Açık Alan (</w:t>
      </w:r>
      <w:r w:rsidR="008B4CD8">
        <w:rPr>
          <w:rFonts w:ascii="Times New Roman" w:hAnsi="Times New Roman" w:cs="Times New Roman"/>
          <w:b/>
          <w:bCs/>
        </w:rPr>
        <w:t>Serbest</w:t>
      </w:r>
      <w:r w:rsidRPr="009E2AB1">
        <w:rPr>
          <w:rFonts w:ascii="Times New Roman" w:hAnsi="Times New Roman" w:cs="Times New Roman"/>
          <w:b/>
          <w:bCs/>
        </w:rPr>
        <w:t>) Kuralları</w:t>
      </w:r>
    </w:p>
    <w:p w14:paraId="339A7100" w14:textId="65FDAC64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 xml:space="preserve">Yeni özellikler önce izole bir </w:t>
      </w:r>
      <w:r w:rsidR="008B4CD8">
        <w:rPr>
          <w:rFonts w:ascii="Times New Roman" w:hAnsi="Times New Roman" w:cs="Times New Roman"/>
        </w:rPr>
        <w:t xml:space="preserve">Serbest </w:t>
      </w:r>
      <w:r w:rsidRPr="009E2AB1">
        <w:rPr>
          <w:rFonts w:ascii="Times New Roman" w:hAnsi="Times New Roman" w:cs="Times New Roman"/>
        </w:rPr>
        <w:t>denenir ve ölçümlerle onaylanmadan genişletilmez.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İzolasyon, beklenmeyen yayılma etkilerini engeller.</w:t>
      </w:r>
    </w:p>
    <w:p w14:paraId="46EDEA5C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120 – Geriye Dönük Uyum Politikası</w:t>
      </w:r>
    </w:p>
    <w:p w14:paraId="5661F78B" w14:textId="4928D514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Gerçekten gerekli olmadıkça geriye dönük uyumluluğun bozulmasına izin verilmez; bozulursa deprecation planı zorunludur.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Tüketiciler ve entegrasyonlar için öngörülebilirlik korunur.</w:t>
      </w:r>
    </w:p>
    <w:p w14:paraId="07626F55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lastRenderedPageBreak/>
        <w:t>Madde 121 – Kilit Performans Göstergeleri (KPI)</w:t>
      </w:r>
    </w:p>
    <w:p w14:paraId="0508D6A7" w14:textId="3E8338FB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DBKGDev/Corp projeleri için ölçülebilir KPI’lar tanımlanır ve düzenli olarak raporlanır.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KPI’lar, projenin sağlığını ve hedefe uygunluğunu görünür kılar.</w:t>
      </w:r>
    </w:p>
    <w:p w14:paraId="3F1F8A80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122 – Etik İnceleme Gerekliliği</w:t>
      </w:r>
    </w:p>
    <w:p w14:paraId="073B8A24" w14:textId="6F518C27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Algoritmik karar mekanizmaları veya otomasyon yükümlülükleri etik kurul onayından geçmelidir.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Etik inceleme, sistemsel adaletsizlik ve zarar riskini azaltır.</w:t>
      </w:r>
    </w:p>
    <w:p w14:paraId="122F3E01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123 – Veri İthalat/İhracat Kontrolleri</w:t>
      </w:r>
    </w:p>
    <w:p w14:paraId="41BD6356" w14:textId="4B2DD16C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Veri akışları ihracat/import kontrolü gerektiriyorsa hukuk ile koordinasyon sağlanmadan transfer yapılamaz.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Ulusal ve uluslararası düzenlemeler göz önünde tutularak hareket edilir.</w:t>
      </w:r>
    </w:p>
    <w:p w14:paraId="1998B9B4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124 – SLA ve SLO Tanımları</w:t>
      </w:r>
    </w:p>
    <w:p w14:paraId="3EF9782A" w14:textId="37C7E6B7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Hizmet seviyeleri (SLA/SLO) açıkça tanımlanmalı ve sağlayıcı-tüketici rollerinde yayınlanmalıdır.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Beklentiler sözleşmesel çerçevede netleştirilir.</w:t>
      </w:r>
    </w:p>
    <w:p w14:paraId="0383A739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125 – Kritik Yol Haritası Kilitleri</w:t>
      </w:r>
    </w:p>
    <w:p w14:paraId="2535B26E" w14:textId="0AEAC317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Her stratejik ürünün yol haritasında kritik kilometre taşları ve durdurma kriterleri önceden belirlenir.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Kilitler, stratejik sapmaları ve kaynak israfını önler.</w:t>
      </w:r>
    </w:p>
    <w:p w14:paraId="180AF9F5" w14:textId="64B1DEFB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 xml:space="preserve">Madde 126 – Otomasyon </w:t>
      </w:r>
      <w:r w:rsidR="008B4CD8" w:rsidRPr="009E2AB1">
        <w:rPr>
          <w:rFonts w:ascii="Times New Roman" w:hAnsi="Times New Roman" w:cs="Times New Roman"/>
          <w:b/>
          <w:bCs/>
        </w:rPr>
        <w:t>ile</w:t>
      </w:r>
      <w:r w:rsidRPr="009E2AB1">
        <w:rPr>
          <w:rFonts w:ascii="Times New Roman" w:hAnsi="Times New Roman" w:cs="Times New Roman"/>
          <w:b/>
          <w:bCs/>
        </w:rPr>
        <w:t xml:space="preserve"> İnsan Dengelemesi</w:t>
      </w:r>
    </w:p>
    <w:p w14:paraId="16D07A5D" w14:textId="6B4AFD34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Tekrarlayan operasyonlar otomasyona devredilirken, insan denetimi kritik noktalarda muhafaza edilir.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Otomasyon hız kazandırır; insan gözü ise etik ve bağlamsal yargıyı korur.</w:t>
      </w:r>
    </w:p>
    <w:p w14:paraId="56F2F2DD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127 – Veri Silme ve Miras Politikası</w:t>
      </w:r>
    </w:p>
    <w:p w14:paraId="7CD958FA" w14:textId="36E0A868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Kaldırılan modüllerin verileri için silme, arşivleme veya devretme prosedürleri açıkça tanımlanır.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Verinin yaşam döngüsü yönetimi, gereksiz saklamayı ve hukuki riskleri azaltır.</w:t>
      </w:r>
    </w:p>
    <w:p w14:paraId="3937576C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128 – Acil Müdahale Ekipleri</w:t>
      </w:r>
    </w:p>
    <w:p w14:paraId="7227DB06" w14:textId="63A962A3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DBKGDev/Corp içinde teknik acil müdahale ekipleri (on-call) ve rotasyon kuralları belirlenir.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Kesintisiz destek, kritik olaylara hızlı müdahale sağlar.</w:t>
      </w:r>
    </w:p>
    <w:p w14:paraId="7E0A66D8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129 – Faturalama ve Maliyet Şeffaflığı</w:t>
      </w:r>
    </w:p>
    <w:p w14:paraId="7178B1F9" w14:textId="743A04A4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İç kaynak kullanımına dayanan projeler için maliyet hesapları ve faturalandırma prensipleri şeffaf olmalıdır.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Kaynak tüketimi ve maliyet etkinliği organizasyonel kararları destekler.</w:t>
      </w:r>
    </w:p>
    <w:p w14:paraId="3E509904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lastRenderedPageBreak/>
        <w:t>Madde 130 – Denetim Kanıtı Saklama</w:t>
      </w:r>
    </w:p>
    <w:p w14:paraId="350AF629" w14:textId="77777777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Tüm kod inceleme, test ve onay kanıtları minimum süreyle saklanır; gerektiğinde usule dayalı denetim için erişilebilir olmalıdır.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Kanıt saklama, sorumluluk ve hesap verebilirlik mekanizmalarını güçlendirir.</w:t>
      </w:r>
    </w:p>
    <w:p w14:paraId="02E30957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131 – Kriptografik Esneklik</w:t>
      </w:r>
    </w:p>
    <w:p w14:paraId="5D000114" w14:textId="267AAC48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DBKG, kriptografik algoritmalarını gerektiğinde hızlıca değiştirebilecek şekilde tasarlanır.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Kriptografik zayıflık tespitinde, sistemin tüm şifreleme katmanları çevik biçimde güncellenmelidir.</w:t>
      </w:r>
    </w:p>
    <w:p w14:paraId="643650B4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132 – Anahtar Yönetimi Politikası</w:t>
      </w:r>
    </w:p>
    <w:p w14:paraId="5B20CE42" w14:textId="70D10A53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Tüm şifreleme anahtarları yaşam döngüsü yönetimi (oluşturma, saklama, rotasyon, imha) kurallarına tabi olur.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Anahtar sızıntısı riskini azaltmak için merkezi ve denetimli yöntemler kullanılır.</w:t>
      </w:r>
    </w:p>
    <w:p w14:paraId="14959A1D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133 – Çok Faktörlü Erişim Zorunluluğu</w:t>
      </w:r>
    </w:p>
    <w:p w14:paraId="7A70A7C9" w14:textId="1E861102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Kritik yönetim panellerine erişim en az iki faktörlü kimlik doğrulaması ile sağlanır.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Tek faktörlü kimlik doğrulama yalnızca düşük riskli alanlarda istisnai olarak kullanılabilir.</w:t>
      </w:r>
    </w:p>
    <w:p w14:paraId="4EE1B7B7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134 – Penetrasyon Testi Takvimi</w:t>
      </w:r>
    </w:p>
    <w:p w14:paraId="0EFF3DA3" w14:textId="18474123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DBKG sistemleri, yıllık veya kritik değişiklik sonrası yetkili ekip tarafından penetrasyon testine tabi tutulur.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Test raporları değerlendirilir, riskler önceliklendirip kapatılır.</w:t>
      </w:r>
    </w:p>
    <w:p w14:paraId="70EC54A1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135 – Açık Zafiyet İfşa Prosedürü</w:t>
      </w:r>
    </w:p>
    <w:p w14:paraId="45F979E2" w14:textId="009A932A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Güvenlik araştırmacıları için koordineli açıklama (coordinated disclosure) politikası ve irtibat kanalı sağlanır.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Bulunan açıklar kayıt altına alınır, risk kriterine göre onarım süresi belirlenir.</w:t>
      </w:r>
    </w:p>
    <w:p w14:paraId="0EC5B1AA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136 – Tedarik Zinciri Güvenlik Sertifikası</w:t>
      </w:r>
    </w:p>
    <w:p w14:paraId="3FDA5235" w14:textId="450C759E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Tedarikçiler, kritik bileşenlerde güvenlik ve uyumluluk sertifikalarını sunmakla yükümlüdür.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Donanım/firmware tedarikçileri güvenlik attestation’ı sağlamalıdır.</w:t>
      </w:r>
    </w:p>
    <w:p w14:paraId="3590A115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137 – Donanım Kökü Güvenliği</w:t>
      </w:r>
    </w:p>
    <w:p w14:paraId="43568339" w14:textId="0A09138E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Güvenlik kritik cihazlarda hardware root-of-trust veya eşdeğeri güvenlik mekanizması zorunludur.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Güvenli önyükleme ve firmware doğrulama, izin verilmeyen değişiklikleri engeller.</w:t>
      </w:r>
    </w:p>
    <w:p w14:paraId="68F50582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138 – Yazılım Tedarikçi Uyum Denetimi</w:t>
      </w:r>
    </w:p>
    <w:p w14:paraId="4FED6D41" w14:textId="193FF5C5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Üçüncü taraf yazılım sağlayıcıları periyodik uyumluluk denetiminden geçmek zorundadır.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Lisans, güvenlik, veri işleme ve SLA uyumu doğrulanır.</w:t>
      </w:r>
    </w:p>
    <w:p w14:paraId="6285304D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lastRenderedPageBreak/>
        <w:t>Madde 139 – Kriz İletişim Protokolü</w:t>
      </w:r>
    </w:p>
    <w:p w14:paraId="1729A4AF" w14:textId="4B30003A" w:rsidR="00EF0F83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Güvenlik veya uyumluluk ihlali durumunda devreye girecek iletişim planı ve sorumlular önceden belirlenir.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Bilgilendirme zamanlaması, kapsam ve yetkiler net olmalıdır.</w:t>
      </w:r>
    </w:p>
    <w:p w14:paraId="29A52D76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140 – Veri Yerelleştirme Kuralları</w:t>
      </w:r>
    </w:p>
    <w:p w14:paraId="344A7A95" w14:textId="339F8B3E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Veri türüne göre hangi coğrafi bölgede saklanacağı ve işleneceği açıkça tanımlanır.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Yasal düzenlemelere ve kullanıcı haklarına uygun veri yerleşimi zorunludur.</w:t>
      </w:r>
    </w:p>
    <w:p w14:paraId="284D8344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141 – Hukuki Uyum ve Mevzuat İzleme</w:t>
      </w:r>
    </w:p>
    <w:p w14:paraId="784A51C7" w14:textId="0AAD8FCF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DBKG, faaliyet gösterdiği yargı alanlarındaki mevzuat değişikliklerini takip edip uyum sağlar.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Yasal uyumsuzluk riski sürekli değerlendirilir ve raporlanır.</w:t>
      </w:r>
    </w:p>
    <w:p w14:paraId="5630445D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142 – Sertifika ve Akreditasyon Gerekliliği</w:t>
      </w:r>
    </w:p>
    <w:p w14:paraId="7B390D7A" w14:textId="3F72BA36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Kritik süreçler, bağımsız akreditasyon veya sertifika gerektiriyorsa bu sağlanmadan işlem başlatılamaz.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Akreditasyon, üçüncü taraf güveninin sağlanması için kullanılır.</w:t>
      </w:r>
    </w:p>
    <w:p w14:paraId="56C70E42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143 – Liability (Sorumluluk) Paylaşımı</w:t>
      </w:r>
    </w:p>
    <w:p w14:paraId="5FF3DE5E" w14:textId="2F5E846E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İş ortaklıklarında sorumluluk sınırları, hata ve veri kaybı durumlarında paylaşım önceden yazılı olarak belirlenir.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Sözleşmelerde risklerin dağılımı ve telafi mekanizmaları netleştirilir.</w:t>
      </w:r>
    </w:p>
    <w:p w14:paraId="29A69F94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144 – Güvenlik Geliştirme Yaşam Döngüsü (SDLC)</w:t>
      </w:r>
    </w:p>
    <w:p w14:paraId="02540B87" w14:textId="580B4F7E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Tüm yazılım geliştirme süreçleri, güvenlik adımlarını içeren bir SDLC’ye göre yürütülür.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Tasarım aşamasından dağıtıma kadar güvenlik kontrolleri zorunludur.</w:t>
      </w:r>
    </w:p>
    <w:p w14:paraId="6D4AEB91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145 – Forensic Readiness (Adli Hazırlık)</w:t>
      </w:r>
    </w:p>
    <w:p w14:paraId="13189139" w14:textId="44F58551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Sistemler, güvenlik olaylarında adli incelemeye uygun veri toplama ve saklama kapasitesine sahip olmalıdır.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Olay verileri değiştirilemez şekilde arşivlenir ve erişim denetlenir.</w:t>
      </w:r>
    </w:p>
    <w:p w14:paraId="3087FA2B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146 – Kriptografik Anahtar Yedeklemesi</w:t>
      </w:r>
    </w:p>
    <w:p w14:paraId="5341A1E8" w14:textId="1A084786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Anahtarlar için güvenli, erişimi kısıtlı yedekleme ve kurtarma mekanizması bulunur.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Kurtarma süreçleri yetkilendirilmiş kişiler ve çok adımlı onay gerektirir.</w:t>
      </w:r>
    </w:p>
    <w:p w14:paraId="17ED3426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147 – Uyumluluk Etiketleme</w:t>
      </w:r>
    </w:p>
    <w:p w14:paraId="6303E2B1" w14:textId="4AACA404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Her yazılım/sistem bileşeni, hangi uyumluluk standartlarını karşıladığıyla etiketlenir.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Etiket, hızlı uyumluluk denetimleri ve risk değerlendirmesi için referans sağlar.</w:t>
      </w:r>
    </w:p>
    <w:p w14:paraId="1BDE8D73" w14:textId="77777777" w:rsidR="00583A2C" w:rsidRDefault="00583A2C" w:rsidP="009E2AB1">
      <w:pPr>
        <w:rPr>
          <w:rFonts w:ascii="Times New Roman" w:hAnsi="Times New Roman" w:cs="Times New Roman"/>
          <w:b/>
          <w:bCs/>
        </w:rPr>
      </w:pPr>
    </w:p>
    <w:p w14:paraId="4C79526D" w14:textId="77777777" w:rsidR="00583A2C" w:rsidRDefault="00583A2C" w:rsidP="009E2AB1">
      <w:pPr>
        <w:rPr>
          <w:rFonts w:ascii="Times New Roman" w:hAnsi="Times New Roman" w:cs="Times New Roman"/>
          <w:b/>
          <w:bCs/>
        </w:rPr>
      </w:pPr>
    </w:p>
    <w:p w14:paraId="271C9EEF" w14:textId="43E53D9C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lastRenderedPageBreak/>
        <w:t>Madde 148 – Güvenlik Eğitimleri ve Sertifikalar</w:t>
      </w:r>
    </w:p>
    <w:p w14:paraId="5EB3B0AE" w14:textId="655C07BF" w:rsidR="00EF0F83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Güvenlik kritik rol sahibi personel düzenli olarak zorunlu güvenlik eğitiminden geçer ve sertifika yenilemesi yapar.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İnsan faktörü riski eğitimle azaltılır.</w:t>
      </w:r>
    </w:p>
    <w:p w14:paraId="46A28E4C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149 – Sözleşmeli Denetim Hakları</w:t>
      </w:r>
    </w:p>
    <w:p w14:paraId="73E811AD" w14:textId="2E8DD901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DBKG, iş ortaklarına yönelik üçüncü taraf denetim hakkını sözleşmelerde saklı tutar.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Denetim, tedarikçi etkinliği ve uyumluluğu doğrulamak için kullanılabilir.</w:t>
      </w:r>
    </w:p>
    <w:p w14:paraId="28FAFDE1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150 – Veri Sızıntısı Müdahale Planı</w:t>
      </w:r>
    </w:p>
    <w:p w14:paraId="1E81F311" w14:textId="12CAD462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Veri sızıntısı durumunda izlenecek adımlar, iletişim ve tazminat mekanizmaları önceden hazırlanır.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Müdahale planı uygulanabilir olmalı ve düzenli tatbikatla test edilmelidir.</w:t>
      </w:r>
    </w:p>
    <w:p w14:paraId="7A568380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151 – Kriptografik Anahtar Rotasyonu</w:t>
      </w:r>
    </w:p>
    <w:p w14:paraId="67393196" w14:textId="0A425EFD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Anahtarlar kritik periyotlarla otomatik veya planlı biçimde değiştirilir; eski anahtarlar güvenli şekilde imha edilir.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Rotasyon, uzun vadeli güvenliği sağlar ve sızıntı etkisini sınırlar.</w:t>
      </w:r>
    </w:p>
    <w:p w14:paraId="18302C59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152 – Bilgi Göçü ve Escrow (Emanet) Politikası</w:t>
      </w:r>
    </w:p>
    <w:p w14:paraId="3614478A" w14:textId="494988B2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 xml:space="preserve">Kritik yazılım/veri sağlayıcıları için kod/veri </w:t>
      </w:r>
      <w:r w:rsidR="008B4CD8" w:rsidRPr="009E2AB1">
        <w:rPr>
          <w:rFonts w:ascii="Times New Roman" w:hAnsi="Times New Roman" w:cs="Times New Roman"/>
        </w:rPr>
        <w:t>Escrow</w:t>
      </w:r>
      <w:r w:rsidRPr="009E2AB1">
        <w:rPr>
          <w:rFonts w:ascii="Times New Roman" w:hAnsi="Times New Roman" w:cs="Times New Roman"/>
        </w:rPr>
        <w:t xml:space="preserve"> sözleşmeleri düzenlenir.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Sağlayıcı iflası veya erişim kaybında sistem sürekliliği korunur.</w:t>
      </w:r>
    </w:p>
    <w:p w14:paraId="43095811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153 – Güvenlik Puanlama ve Risk Eşikleri</w:t>
      </w:r>
    </w:p>
    <w:p w14:paraId="69E3A7F1" w14:textId="30489363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Sistem bileşenleri güvenlik puanlarına tabi tutulur; puan belirli eşiğin altına inilirse müdahale zorunludur.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Puanlama, öncelikli düzeltme alanlarını belirler.</w:t>
      </w:r>
    </w:p>
    <w:p w14:paraId="5DAEB040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154 – Firmware Güncelleme Politikası</w:t>
      </w:r>
    </w:p>
    <w:p w14:paraId="1F54672A" w14:textId="6B4B0917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Cihaz firmware güncellemeleri doğrulanmış kanaldan, imzalı paketlerle yapılmalıdır.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İmzalı güncellemeler, kötü amaçlı kod yüklemeyi engeller.</w:t>
      </w:r>
    </w:p>
    <w:p w14:paraId="04067D12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155 – Donanım Atık Güvenliği</w:t>
      </w:r>
    </w:p>
    <w:p w14:paraId="6D281546" w14:textId="38A8A62D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Kullanımdan kaldırılan donanımlar güvenli silme veya fiziksel imha prosedürlerine tabi tutulur.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Donanımda kalan veri sızıntısına karşı korunma sağlanır.</w:t>
      </w:r>
    </w:p>
    <w:p w14:paraId="35C50096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156 – Zayıf Nokta Yönetimi</w:t>
      </w:r>
    </w:p>
    <w:p w14:paraId="5DCF15A7" w14:textId="38FBD8B3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Tespit edilen tüm zayıf noktalar sınıflandırılır, önceliklendirilir ve kapatma süreleri taahhüt edilir.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Yönetim süreci şeffaf ve ölçülebilir olmalıdır.</w:t>
      </w:r>
    </w:p>
    <w:p w14:paraId="634C16ED" w14:textId="77777777" w:rsidR="00583A2C" w:rsidRDefault="00583A2C" w:rsidP="009E2AB1">
      <w:pPr>
        <w:rPr>
          <w:rFonts w:ascii="Times New Roman" w:hAnsi="Times New Roman" w:cs="Times New Roman"/>
          <w:b/>
          <w:bCs/>
        </w:rPr>
      </w:pPr>
    </w:p>
    <w:p w14:paraId="6C7E973C" w14:textId="16A216A9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lastRenderedPageBreak/>
        <w:t>Madde 157 – İş Sürekliliği ve Kurtarma Planı</w:t>
      </w:r>
    </w:p>
    <w:p w14:paraId="4F7CC465" w14:textId="77777777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Her kritik bileşen için iş sürekliliği (BCP) ve felaket kurtarma (DR) planı hazırlanır ve tatbikatla test edilir.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Planlar, beklenen maksimum kesinti süresini ve kurtarma adımlarını içerir.</w:t>
      </w:r>
    </w:p>
    <w:p w14:paraId="00872A3E" w14:textId="5B09CAB8" w:rsidR="009E2AB1" w:rsidRPr="009E2AB1" w:rsidRDefault="009E2AB1" w:rsidP="009E2AB1">
      <w:pPr>
        <w:rPr>
          <w:rFonts w:ascii="Times New Roman" w:hAnsi="Times New Roman" w:cs="Times New Roman"/>
        </w:rPr>
      </w:pPr>
    </w:p>
    <w:p w14:paraId="5C6C2DF1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158 – Uluslararası Veri Paylaşımı Standartları</w:t>
      </w:r>
    </w:p>
    <w:p w14:paraId="41C928B0" w14:textId="30B52864" w:rsidR="009E2AB1" w:rsidRP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Uluslararası veri paylaşımı, ulusal mevzuat ve karşı tarafın güvenlik seviyesine göre kısıtlanır ve belgelendirilir.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Cross-border transferler izlenir ve gerekirse ek koruma katmanları uygulanır.</w:t>
      </w:r>
    </w:p>
    <w:p w14:paraId="5D2AC6F2" w14:textId="77777777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159 – Güvenlik Açığı Ödüllendirme (Bug Bounty)</w:t>
      </w:r>
    </w:p>
    <w:p w14:paraId="41E16372" w14:textId="30DB443E" w:rsidR="009E2AB1" w:rsidRPr="00EF0F83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DBKG, belirli kapsam ve kurallarla güvenlik araştırmacılarına ödül programı düzenleyebilir.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Program kuralları, sorumlu açıklama ve etik davranış ilkelerini zorunlu kılar.</w:t>
      </w:r>
    </w:p>
    <w:p w14:paraId="297C085C" w14:textId="4DD6BB6F" w:rsidR="009E2AB1" w:rsidRPr="009E2AB1" w:rsidRDefault="009E2AB1" w:rsidP="009E2AB1">
      <w:pPr>
        <w:rPr>
          <w:rFonts w:ascii="Times New Roman" w:hAnsi="Times New Roman" w:cs="Times New Roman"/>
          <w:b/>
          <w:bCs/>
        </w:rPr>
      </w:pPr>
      <w:r w:rsidRPr="009E2AB1">
        <w:rPr>
          <w:rFonts w:ascii="Times New Roman" w:hAnsi="Times New Roman" w:cs="Times New Roman"/>
          <w:b/>
          <w:bCs/>
        </w:rPr>
        <w:t>Madde 160 – İş Ortağı Sonlandırma Prosedürü</w:t>
      </w:r>
    </w:p>
    <w:p w14:paraId="165982CC" w14:textId="77777777" w:rsidR="009E2AB1" w:rsidRDefault="009E2AB1" w:rsidP="009E2AB1">
      <w:pPr>
        <w:rPr>
          <w:rFonts w:ascii="Times New Roman" w:hAnsi="Times New Roman" w:cs="Times New Roman"/>
        </w:rPr>
      </w:pPr>
      <w:r w:rsidRPr="009E2AB1">
        <w:rPr>
          <w:rFonts w:ascii="Times New Roman" w:hAnsi="Times New Roman" w:cs="Times New Roman"/>
        </w:rPr>
        <w:t>Bir iş ortaklığı sona erdiğinde erişim hakları, veri devri ve güvenlik temizliği prosedürleri derhal uygulanır.</w:t>
      </w:r>
      <w:r w:rsidRPr="009E2AB1">
        <w:rPr>
          <w:rFonts w:ascii="Times New Roman" w:hAnsi="Times New Roman" w:cs="Times New Roman"/>
        </w:rPr>
        <w:br/>
      </w:r>
      <w:r w:rsidRPr="009E2AB1">
        <w:rPr>
          <w:rFonts w:ascii="Times New Roman" w:hAnsi="Times New Roman" w:cs="Times New Roman"/>
          <w:b/>
          <w:bCs/>
        </w:rPr>
        <w:t>Açıklama:</w:t>
      </w:r>
      <w:r w:rsidRPr="009E2AB1">
        <w:rPr>
          <w:rFonts w:ascii="Times New Roman" w:hAnsi="Times New Roman" w:cs="Times New Roman"/>
        </w:rPr>
        <w:t xml:space="preserve"> Sonlandırma, kalıntı erişim ve veri bırakma risklerini ortadan kaldırmalıdır.</w:t>
      </w:r>
    </w:p>
    <w:p w14:paraId="03962C3D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161 – Sözleşme Taslak Standardı</w:t>
      </w:r>
    </w:p>
    <w:p w14:paraId="31775C01" w14:textId="0BD19F5A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Kurumsal iş birlikleri için kullanılacak tüm sözleşme taslakları standart bir şablona uygun olmalıdır.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Standart şablon; tanımlar, yetkiler, sorumluluklar, fesih, tazminat ve gizlilik bölümlerini içermelidir.</w:t>
      </w:r>
    </w:p>
    <w:p w14:paraId="4B11538D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162 – Yetki Temsiliyet Belgeleri</w:t>
      </w:r>
    </w:p>
    <w:p w14:paraId="29B2CFAD" w14:textId="65AC56FF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Her dış temas ve sözleşme imzası için yetki belgesi (representation) önceden sunulmalıdır.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</w:t>
      </w:r>
      <w:r w:rsidR="00D41D01">
        <w:rPr>
          <w:rFonts w:ascii="Times New Roman" w:hAnsi="Times New Roman" w:cs="Times New Roman"/>
          <w:b/>
          <w:bCs/>
        </w:rPr>
        <w:t>a</w:t>
      </w:r>
      <w:r w:rsidRPr="00EF0F83">
        <w:rPr>
          <w:rFonts w:ascii="Times New Roman" w:hAnsi="Times New Roman" w:cs="Times New Roman"/>
          <w:b/>
          <w:bCs/>
        </w:rPr>
        <w:t>ma:</w:t>
      </w:r>
      <w:r w:rsidRPr="00EF0F83">
        <w:rPr>
          <w:rFonts w:ascii="Times New Roman" w:hAnsi="Times New Roman" w:cs="Times New Roman"/>
        </w:rPr>
        <w:t xml:space="preserve"> Yetkisiz imzalar sözleşmeyi geçersiz kılabilir; temsil belgeleri arşivlenir.</w:t>
      </w:r>
    </w:p>
    <w:p w14:paraId="4BD5E5E8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163 – Uyuşmazlık Çözüm Mekanizması</w:t>
      </w:r>
    </w:p>
    <w:p w14:paraId="5BDF54ED" w14:textId="1F926E1A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Taraflar arası ihtilaflarda önce arabuluculuk; başarısız olursa tahkim veya mahkeme prosedürü uygulanır.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Öncelikli yol arabuluculuk olup aşamalar sözleşmede netleştirilmelidir.</w:t>
      </w:r>
    </w:p>
    <w:p w14:paraId="21C9E682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164 – Hizmet Seviyesi Tazminatı (SLA Tazminatı)</w:t>
      </w:r>
    </w:p>
    <w:p w14:paraId="71FC5DA4" w14:textId="4F96906B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SLA ihlali durumunda uygulanacak tazminat formülü sözleşmede açıkça tanımlanır.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Tazminat hesaplaması objektif göstergelere (SLO) dayanmalıdır.</w:t>
      </w:r>
    </w:p>
    <w:p w14:paraId="79A141A7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165 – Fikri Mülkiyet Lisanslama Politikası</w:t>
      </w:r>
    </w:p>
    <w:p w14:paraId="28AF316F" w14:textId="5E2F42D1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lastRenderedPageBreak/>
        <w:t>Projeye dahil olan tüm katkıların IP statüsü (çalışan ürünü, sözleşmeli çalışma, açık kaynak) sözleşmede belirtilir.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Lisanslama netliği ilerideki ihtilafları önler.</w:t>
      </w:r>
    </w:p>
    <w:p w14:paraId="64082BDD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166 – Telif ve Patent Bildirimi</w:t>
      </w:r>
    </w:p>
    <w:p w14:paraId="2887B47F" w14:textId="77777777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Yeni geliştirilen patent adayı veya telif konusu eserler kurum içi bildirim mekanizmasına girer.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Bildirim, koruma stratejisinin ve kayıt sürecinin başlamasını tetikler.</w:t>
      </w:r>
    </w:p>
    <w:p w14:paraId="79244599" w14:textId="26C4201E" w:rsidR="00EF0F83" w:rsidRPr="00EF0F83" w:rsidRDefault="00EF0F83" w:rsidP="00EF0F83">
      <w:pPr>
        <w:rPr>
          <w:rFonts w:ascii="Times New Roman" w:hAnsi="Times New Roman" w:cs="Times New Roman"/>
        </w:rPr>
      </w:pPr>
    </w:p>
    <w:p w14:paraId="7F8EFA23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167 – Tazminat Sınırlandırması</w:t>
      </w:r>
    </w:p>
    <w:p w14:paraId="5F21386A" w14:textId="562345FC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Sözleşmelerde tarafların hukuki sorumlulukları ve tazminat limitleri önceden belirlenir.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Orantılı limitler, öngörülebilir risk dağılımı sağlar.</w:t>
      </w:r>
    </w:p>
    <w:p w14:paraId="187E1AB8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168 – Vergisel Uyum Yükümlülüğü</w:t>
      </w:r>
    </w:p>
    <w:p w14:paraId="2EA06476" w14:textId="2240AA44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Ortaklıklar ve gelir akışları için vergi yükümlülükleri önceden değerlendirilir ve belgelenir.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Vergi planlaması, yasal sorumlulukların yerine getirilmesini garanti eder.</w:t>
      </w:r>
    </w:p>
    <w:p w14:paraId="5A3ACA93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169 – Anti-Rüşvet ve Yolsuzluk Politikası</w:t>
      </w:r>
    </w:p>
    <w:p w14:paraId="18785E73" w14:textId="25D0C4C0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Tüm iş ilişkilerinde rüşvet ve yolsuzluk kesinlikle yasaktır; ihlal sert yaptırımlara bağlanır.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Eğitim, denetim ve şikâyet mekanizmaları zorunludur.</w:t>
      </w:r>
    </w:p>
    <w:p w14:paraId="5CCC2210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170 – İhracat ve Ambargo Uyumu</w:t>
      </w:r>
    </w:p>
    <w:p w14:paraId="2749F537" w14:textId="5518CF9E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Ürün/servis transferleri ihracat kontrolü ve ambargo düzenlemelerine göre ön onaydan geçirilir.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Uyum dışı transferler ağır hukuki riske neden olur; kontroller zorunludur.</w:t>
      </w:r>
    </w:p>
    <w:p w14:paraId="5B51008B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171 – Anti-Suç Finansman (AML/KYC)</w:t>
      </w:r>
    </w:p>
    <w:p w14:paraId="75640F2E" w14:textId="33E1C062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Finansal iş birliklerinde AML/KYC prosedürleri uygulanır; şüpheli faaliyetler bildirilir.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Finansal şeffaflık ve yasal raporlama gereklidir.</w:t>
      </w:r>
    </w:p>
    <w:p w14:paraId="1AA74602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172 – Sigorta ve Güvence Politikası</w:t>
      </w:r>
    </w:p>
    <w:p w14:paraId="04F979BC" w14:textId="769E3D39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Kritik faaliyetler için uygun sigorta (sorumluluk, siber, iş kesinti vb.) kapsamında olma şartı aranır.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Sigorta, beklenmeyen zararların mali etkisini sınırlar.</w:t>
      </w:r>
    </w:p>
    <w:p w14:paraId="71BFE2B5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173 – Üçüncü Taraf Garantileri</w:t>
      </w:r>
    </w:p>
    <w:p w14:paraId="026BBA01" w14:textId="2F9FBACE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Tedarikçilerden alınacak garantiler (performans, güvenlik, uyumluluk) sözleşmede yazılı olmalıdır.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Garantiler ihlal durumunda el yordamıyla talep edilebilecek hakları belirler.</w:t>
      </w:r>
    </w:p>
    <w:p w14:paraId="79CB592E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174 – Çapraz-Bağımsız Denetim Hakkı</w:t>
      </w:r>
    </w:p>
    <w:p w14:paraId="0B160BEA" w14:textId="1DCE377F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lastRenderedPageBreak/>
        <w:t>Kuruluş, iş ortaklarının belirli süreçleri için bağımsız denetim talep etme hakkını saklı tutar.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Denetim sonuçları düzeltici eylemleri tetikler.</w:t>
      </w:r>
    </w:p>
    <w:p w14:paraId="67D3C49B" w14:textId="202517D3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 xml:space="preserve">Madde 175 – Personel İstihdam ve Sözleşme </w:t>
      </w:r>
      <w:r w:rsidR="008B4CD8" w:rsidRPr="00EF0F83">
        <w:rPr>
          <w:rFonts w:ascii="Times New Roman" w:hAnsi="Times New Roman" w:cs="Times New Roman"/>
          <w:b/>
          <w:bCs/>
        </w:rPr>
        <w:t>Standart</w:t>
      </w:r>
    </w:p>
    <w:p w14:paraId="422A5BC7" w14:textId="77777777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Sözleşmeli veya kadrolu personel için asgari yetkinlik, gizlilik ve rekabet yasağı şartları tanımlanır.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Standart maddeler, tutarlı insan kaynakları uygulamalarını sağlar.</w:t>
      </w:r>
    </w:p>
    <w:p w14:paraId="6E0FC997" w14:textId="6A31FDF3" w:rsidR="00EF0F83" w:rsidRPr="00EF0F83" w:rsidRDefault="00EF0F83" w:rsidP="00EF0F83">
      <w:pPr>
        <w:rPr>
          <w:rFonts w:ascii="Times New Roman" w:hAnsi="Times New Roman" w:cs="Times New Roman"/>
        </w:rPr>
      </w:pPr>
    </w:p>
    <w:p w14:paraId="6EB5A010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176 – Ücret, Prim ve Paylaşım Politikası</w:t>
      </w:r>
    </w:p>
    <w:p w14:paraId="183FCA59" w14:textId="0B33C1A1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Ortaklıklardan elde edilen gelirlerin paylaşım mekanizması ve çalışan prim kriterleri açıkça tanımlanır.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Şeffaf paylaşım kuralları içsel huzuru ve motivasyonu destekler.</w:t>
      </w:r>
    </w:p>
    <w:p w14:paraId="62426B6E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177 – Sorumluluk Devir Şartları</w:t>
      </w:r>
    </w:p>
    <w:p w14:paraId="58A3F3F2" w14:textId="5B9803B2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Bir projenin veya hizmetin üçüncü tarafa devri halinde sorumluluk ve geçiş şartları yazılı olarak düzenlenir.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Geçiş planı, müşteri ve veri güvenliğini sağlar.</w:t>
      </w:r>
    </w:p>
    <w:p w14:paraId="24D27DA2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178 – Vergi Tazminatı ve Teminatları</w:t>
      </w:r>
    </w:p>
    <w:p w14:paraId="07B8791D" w14:textId="71D2A511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İş ortaklığı sözleşmelerinde vergi ile ilgili anlaşmazlıklarda uygulanacak tazminat ve teminat mekanizmaları belirlenir.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Vergisel riskler için korunma yolları sözleşmede yer alır.</w:t>
      </w:r>
    </w:p>
    <w:p w14:paraId="4B0AFEB0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179 – Yerel Hukuka Uyum Maddesi</w:t>
      </w:r>
    </w:p>
    <w:p w14:paraId="56EDBC9E" w14:textId="39138279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Her uluslararası iş ilişkisi, yerel mevzuatın zorunlu hükümlerine uyum gösterecek şekilde düzenlenir.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Yerel gerekliliklerin ihlali hukuki yaptırımları tetikler.</w:t>
      </w:r>
    </w:p>
    <w:p w14:paraId="7969E285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180 – Kamuoyu ve Basın Politikası</w:t>
      </w:r>
    </w:p>
    <w:p w14:paraId="767ED29C" w14:textId="3C813B31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Ortak faaliyetlere ilişkin açıklamalar için yetki sahibi kişiler ve onay süreçleri belirlenir.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Koordinasyonsuz medya beyanları itibar riskine neden olabilir.</w:t>
      </w:r>
    </w:p>
    <w:p w14:paraId="7A62ACF8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181 – Rekabet ve Anti-Tröst Uyumu</w:t>
      </w:r>
    </w:p>
    <w:p w14:paraId="324A8BA2" w14:textId="44C89B78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İş ortaklıkları rekabet kanunlarına aykırı davranışlara yer veremez; rekabet ihlallerinde yaptırımlar akar.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Fiyat sabitleme, pazar paylaşımı gibi uygulamalar yasaktır.</w:t>
      </w:r>
    </w:p>
    <w:p w14:paraId="70DBA169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182 – Fesih ve İhbar Koşulları</w:t>
      </w:r>
    </w:p>
    <w:p w14:paraId="198D1F69" w14:textId="5F012E2C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Sözleşmelerde fesih nedenleri, ihbar süreleri ve mali sonuçları önceden netleştirilir.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Belirsizlikler anlaşmazlıkları hızlandırır; net kurallar gereklidir.</w:t>
      </w:r>
    </w:p>
    <w:p w14:paraId="55FAB697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183 – Ortak Girişimler İçin Yönetişim</w:t>
      </w:r>
    </w:p>
    <w:p w14:paraId="21BF1AEC" w14:textId="4B55372F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lastRenderedPageBreak/>
        <w:t>JV (joint venture) veya ortak girişimlerde yönetim, oy hakları ve çıkış stratejileri tanımlanır.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Yönetişim protokolü çatışmaları önler ve karar alma mekanizmasını hızlandırır.</w:t>
      </w:r>
    </w:p>
    <w:p w14:paraId="3B788B74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184 – Tazminat Talepleri ve Prosedürü</w:t>
      </w:r>
    </w:p>
    <w:p w14:paraId="1A8AB211" w14:textId="77777777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Tazminat taleplerinin sunulma şekli, süresi ve istenen kanıtlar sözleşmede gösterilir.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Usulün belirgin olması süreci hızlandırır ve kötü niyetli talepleri azaltır.</w:t>
      </w:r>
    </w:p>
    <w:p w14:paraId="55DDF03F" w14:textId="5664B391" w:rsidR="00EF0F83" w:rsidRDefault="00EF0F83" w:rsidP="00EF0F83">
      <w:pPr>
        <w:rPr>
          <w:rFonts w:ascii="Times New Roman" w:hAnsi="Times New Roman" w:cs="Times New Roman"/>
        </w:rPr>
      </w:pPr>
    </w:p>
    <w:p w14:paraId="7DE76420" w14:textId="77777777" w:rsidR="00D41D01" w:rsidRPr="00EF0F83" w:rsidRDefault="00D41D01" w:rsidP="00EF0F83">
      <w:pPr>
        <w:rPr>
          <w:rFonts w:ascii="Times New Roman" w:hAnsi="Times New Roman" w:cs="Times New Roman"/>
        </w:rPr>
      </w:pPr>
    </w:p>
    <w:p w14:paraId="3E5671F6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185 – Teminat Mektupları ve Banka Güvenceleri</w:t>
      </w:r>
    </w:p>
    <w:p w14:paraId="6CEDD5B4" w14:textId="30F9144A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Büyük meblağlı işlerde teminat mektupları veya banka garantisi talep edilebilir.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Finansal teminat, ödeme risklerini azaltır.</w:t>
      </w:r>
    </w:p>
    <w:p w14:paraId="7B2C4982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186 – Ücret ve Tazminat Şeffaflığı</w:t>
      </w:r>
    </w:p>
    <w:p w14:paraId="233E7718" w14:textId="5E8C2DAD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Çalışan ve yüklenici ödemelerinde dağıtım mekanizmaları şeffaf ve denetlenebilir olmalıdır.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Şeffaflık, yolsuzluk ve suiistimali engeller.</w:t>
      </w:r>
    </w:p>
    <w:p w14:paraId="2E6B9C2D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187 – Uyum Denetim Raporlama</w:t>
      </w:r>
    </w:p>
    <w:p w14:paraId="20636E85" w14:textId="42C13B09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İç ve dış uyum denetimlerinin sonuçları üst yönetime raporlanır ve aksiyon planı eklenir.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Denetim bulgularının kapatılması takip edilir.</w:t>
      </w:r>
    </w:p>
    <w:p w14:paraId="2193A86E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188 – Hukuki Masraf ve İcra Politikası</w:t>
      </w:r>
    </w:p>
    <w:p w14:paraId="024C6DFE" w14:textId="0A02A569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Hukuki süreçlere girildiğinde masraf paylaşımı, avukat seçimi ve ödeme esasları sözleşmede yer alır.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Masraf sorumluluğu belirsizliklerini ortadan kaldırır.</w:t>
      </w:r>
    </w:p>
    <w:p w14:paraId="49245794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189 – Çıkış, Miras ve Devir Senaryoları</w:t>
      </w:r>
    </w:p>
    <w:p w14:paraId="5620AC2C" w14:textId="22905828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Ortaklık sona erdiğinde fikri mülkiyet, müşteri ilişkileri ve veri devri ile ilgili net senaryolar tanımlanır.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Kapanış planı, taraflar arası sürtüşmeyi azaltır.</w:t>
      </w:r>
    </w:p>
    <w:p w14:paraId="3E79E5A8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190 – Etik İhbar (Whistleblower) Koruması</w:t>
      </w:r>
    </w:p>
    <w:p w14:paraId="656C376B" w14:textId="77777777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Kurumsal suistimal veya yasa ihlali bildirenlerin korunması için bağımsız ihbar hatları ve gizlilik garantileri sağlanır.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Koruma mekanizmaları, kötü uygulamaların ortaya çıkarılmasını teşvik eder.</w:t>
      </w:r>
    </w:p>
    <w:p w14:paraId="72507EB4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191 – Yargısal Denetim Hakkı</w:t>
      </w:r>
    </w:p>
    <w:p w14:paraId="16B2C929" w14:textId="1692B40D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DBKG kararları, bağımsız bir adli merci önünde denetlenebilir ve iptal edilebilir.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DBKG uygulamaları hukuka aykırı bulunduğunda, mahkeme kararıyla durdurulabilir ve geri alınabilir.</w:t>
      </w:r>
    </w:p>
    <w:p w14:paraId="63DBE23D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192 – Bireysel Hukuk Yolu</w:t>
      </w:r>
    </w:p>
    <w:p w14:paraId="14A6625C" w14:textId="15120F12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lastRenderedPageBreak/>
        <w:t>DBKG’ye tabi kişiler, DBKG uygulamalarından kaynaklanan zararlar için tazminat talebiyle bağımsız mahkemelere başvurma hakkına sahiptir.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Bu madde, bireysel mağduriyetlerin idari dryftlerle kapatılmasını engeller.</w:t>
      </w:r>
    </w:p>
    <w:p w14:paraId="4E1823A3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193 – Zorunlu Katılımın Yasaklanması</w:t>
      </w:r>
    </w:p>
    <w:p w14:paraId="0F1BF13F" w14:textId="77777777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Hiçbir kişi, kamu makamı kararı veya DBKG iç kuralı ile zorunlu olarak DBKG’ye üye veya veri kaynağı haline getirilemez.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Rıza olmaksızın dahil etme yasaktır; istisnalar yalnızca kanunda açıkça düzenlenebilir.</w:t>
      </w:r>
    </w:p>
    <w:p w14:paraId="3E02A6DF" w14:textId="1740C28E" w:rsidR="00EF0F83" w:rsidRPr="00EF0F83" w:rsidRDefault="00EF0F83" w:rsidP="00EF0F83">
      <w:pPr>
        <w:rPr>
          <w:rFonts w:ascii="Times New Roman" w:hAnsi="Times New Roman" w:cs="Times New Roman"/>
        </w:rPr>
      </w:pPr>
    </w:p>
    <w:p w14:paraId="06C8A091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194 – İnsan Hakları Uyum Zorunluluğu</w:t>
      </w:r>
    </w:p>
    <w:p w14:paraId="64B67E07" w14:textId="70D8EFCA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DBKG uygulamaları, yürürlükteki insan hakları normları ve temel özgürlüklere aykırı olamaz.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Hak ihlali iddiası halinde acil yargısal tedbir uygulanır.</w:t>
      </w:r>
    </w:p>
    <w:p w14:paraId="480DBEF7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195 – Zorlayıcı Psikolojik Müdahale Yasağı</w:t>
      </w:r>
    </w:p>
    <w:p w14:paraId="5C29D4B4" w14:textId="4D7418CF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DBKG, bireylerin zihin durumunu zorlayıcı, manipülatif veya rızasız değiştirecek uygulamalar geliştiremez veya uygulayamaz.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Psikolojik baskı, beyin müdahalesi veya benzeri teknikler açıkça yasaktır.</w:t>
      </w:r>
    </w:p>
    <w:p w14:paraId="4BD1DBCD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196 – Hukuki Sorumluluk ve Cezaî Hükümler</w:t>
      </w:r>
    </w:p>
    <w:p w14:paraId="4C495487" w14:textId="79E8A3EC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DBKG yöneticileri veya karar vericileri, suç oluşturan eylemlerden kişisel olarak cezaî ve hukuki sorumluluk taşırlar.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“Sistem adına” sorumluluktan kaçış kabul edilmez.</w:t>
      </w:r>
    </w:p>
    <w:p w14:paraId="343CA41F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197 – Şeffaflık ve Hesap Verebilirlik Raporu</w:t>
      </w:r>
    </w:p>
    <w:p w14:paraId="2E277BEC" w14:textId="6CE5960F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DBKG, yılda en az bir kez bağımsız denetçi raporuyla birlikte halkaya açık (gizlilik korunarak) bir şeffaflık raporu yayınlar.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Rapor, politika, uygulama etkileri ve oluşan şikâyetleri kapsar.</w:t>
      </w:r>
    </w:p>
    <w:p w14:paraId="3BC9C66E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198 – Kamu Denetim Yetkisi</w:t>
      </w:r>
    </w:p>
    <w:p w14:paraId="7142AA32" w14:textId="3EBAAB12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Yetkili kamu kurumları, DBKG faaliyetlerini mevzuat çerçevesinde denetleme ve uygunsuzluğu resen durdurma yetkisine sahiptir.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İdari denetim, adli süreçten bağımsız olarak hızlı müdahale sağlar.</w:t>
      </w:r>
    </w:p>
    <w:p w14:paraId="25882D7D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199 – İtiraz ve Temsil Hakkı</w:t>
      </w:r>
    </w:p>
    <w:p w14:paraId="3429201A" w14:textId="1A41A17D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DBKG kararlarına maruz kalan kişiler, idari itiraz ve bağımsız temsil (avukat) hakkına sahiptir; acil itiraz prosedürü sağlanır.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Hızlı itiraz kanalı, zararın büyümesini önlemeyi amaçlar.</w:t>
      </w:r>
    </w:p>
    <w:p w14:paraId="28C16462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200 – Veri İşleme Rızası ve Sınırlandırma</w:t>
      </w:r>
    </w:p>
    <w:p w14:paraId="682C62C1" w14:textId="62DD0AFB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lastRenderedPageBreak/>
        <w:t>DBKG, kişisel verileri işlerken açık, bilinçli ve belgeyle kanıtlanabilir rıza almak zorundadır; zorunlu olmayan işler için rıza gereklidir.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Rıza geri çekilebilir; geri çekme işlemi uygulanır ve etkileri sınırlandırılır.</w:t>
      </w:r>
    </w:p>
    <w:p w14:paraId="09D56DD1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201 – Hukuki Temsil ve Danışma Erişimi</w:t>
      </w:r>
    </w:p>
    <w:p w14:paraId="5BE2AD63" w14:textId="77777777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DBKG’ye dahil olan her birey, DBKG ile ilgili hak ve yükümlülükleri hakkında bağımsız hukuki danışmanlığa erişim hakkına sahiptir.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Bilgilendirilmiş rıza ve hak arama imkânı sağlanır.</w:t>
      </w:r>
    </w:p>
    <w:p w14:paraId="22228D3A" w14:textId="261A1B01" w:rsidR="00EF0F83" w:rsidRPr="00EF0F83" w:rsidRDefault="00EF0F83" w:rsidP="00EF0F83">
      <w:pPr>
        <w:rPr>
          <w:rFonts w:ascii="Times New Roman" w:hAnsi="Times New Roman" w:cs="Times New Roman"/>
        </w:rPr>
      </w:pPr>
    </w:p>
    <w:p w14:paraId="2290B0E1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202 – Denetleme ve İptal Yetkisi</w:t>
      </w:r>
    </w:p>
    <w:p w14:paraId="281B5397" w14:textId="54FB1F77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Bağımsız bir düzenleyici organ, DBKG’nin belirli uygulama ve kurallarını mevzuata aykırı bulduğunda, bunları askıya alma veya iptal etme yetkisine sahiptir.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Düzenleyici tedbirler, daha geniş hukuki süreçleri geciktirmeden güvenliği sağlar.</w:t>
      </w:r>
    </w:p>
    <w:p w14:paraId="3B6283A6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203 – Kapanma ve Mahkeme Emri</w:t>
      </w:r>
    </w:p>
    <w:p w14:paraId="29280D7A" w14:textId="40F301BB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Mahkeme, kamu güvenliği veya ciddi hak ihlali durumunda DBKG faaliyetlerini kısmen veya tamamen durdurma yetkisine sahiptir.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Acil kapatma, hukuki süreçlerle derhal takip edilir.</w:t>
      </w:r>
    </w:p>
    <w:p w14:paraId="0099D2C6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204 – Zarar Görenlere Acil Müdahale Fonksiyonu</w:t>
      </w:r>
    </w:p>
    <w:p w14:paraId="7737914F" w14:textId="4596332F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DBKG uygulamalarından dolayı mağduriyet oluştuğunda, geçici tazminat veya destek sağlamak üzere acil müdahale fonu veya mekanizması bulundurulmalıdır.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Fon, nihai tazminat kararına kadar zararı hafifletir.</w:t>
      </w:r>
    </w:p>
    <w:p w14:paraId="29CE8032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205 – Geri Alma ve Düzeltme Hakkı</w:t>
      </w:r>
    </w:p>
    <w:p w14:paraId="3A189E98" w14:textId="2E365A28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Hatalı veya hukuka aykırı DBKG işlemleri nedeniyle kişisel veride veya karar sonuçlarında zarar oluştuysa, ilgili kişi düzeltme veya kaldırma talep edebilir.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Düzeltme talepleri makul süre içinde yerine getirilmelidir.</w:t>
      </w:r>
    </w:p>
    <w:p w14:paraId="5D88FA2B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206 – Zorunlu Şeffaflık Talepleri</w:t>
      </w:r>
    </w:p>
    <w:p w14:paraId="68830574" w14:textId="762D8054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Mahkeme veya yetkili düzenleme talebi halinde DBKG, karar mantığına dair sınırlı ve denetlenebilir açıklama yapmakla yükümlüdür.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Açıklama sınırları güvenlik ve fikri mülkiyet gerekçeleriyle dengelenir.</w:t>
      </w:r>
    </w:p>
    <w:p w14:paraId="05753419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207 – Kamusal Etki Değerlendirmesi (PIA) Zorunluluğu</w:t>
      </w:r>
    </w:p>
    <w:p w14:paraId="7B29F7DF" w14:textId="4AA10183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Büyük ölçekte etki yaratacak DBKG uygulamaları öncesinde bağımsız bir Kamusal Etki Değerlendirmesi (Privacy &amp; Public Impact Assessment) yapılmalıdır.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Değerlendirme, olası zararları ve önleyici önlemleri belirler.</w:t>
      </w:r>
    </w:p>
    <w:p w14:paraId="14171E6D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208 – İnsani Çıkış ve Opt-out Hakkı</w:t>
      </w:r>
    </w:p>
    <w:p w14:paraId="7CA9044C" w14:textId="1DC3E71E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DBKG üyesi bir kişi, makul sonuç denetleme süreçleriyle DBKG’den ayrılma ve verilerinin silinmesini talep etme hakkına sahiptir.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lastRenderedPageBreak/>
        <w:t>Açıklama:</w:t>
      </w:r>
      <w:r w:rsidRPr="00EF0F83">
        <w:rPr>
          <w:rFonts w:ascii="Times New Roman" w:hAnsi="Times New Roman" w:cs="Times New Roman"/>
        </w:rPr>
        <w:t xml:space="preserve"> Ayrılma zorlayıcı şartlara tabi olamaz; korunmuş veriler için ayrı prosedür uygulanır.</w:t>
      </w:r>
    </w:p>
    <w:p w14:paraId="7B16C779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209 – Özel Mahremiyetin Korunması</w:t>
      </w:r>
    </w:p>
    <w:p w14:paraId="33EF7481" w14:textId="77777777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DBKG, sağlık, cinsel hayat, dini inanç gibi hassas verileri ancak açık ve özel rızaya dayanarak işleyebilir; genel işleme bu verileri dahil edemez.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Hassas veri işlemeleri en sıkı kriterlere tabidir.</w:t>
      </w:r>
    </w:p>
    <w:p w14:paraId="045542F9" w14:textId="525A93E7" w:rsidR="00EF0F83" w:rsidRDefault="00EF0F83" w:rsidP="00EF0F83">
      <w:pPr>
        <w:rPr>
          <w:rFonts w:ascii="Times New Roman" w:hAnsi="Times New Roman" w:cs="Times New Roman"/>
        </w:rPr>
      </w:pPr>
    </w:p>
    <w:p w14:paraId="595DC3CF" w14:textId="77777777" w:rsidR="00D41D01" w:rsidRPr="00EF0F83" w:rsidRDefault="00D41D01" w:rsidP="00EF0F83">
      <w:pPr>
        <w:rPr>
          <w:rFonts w:ascii="Times New Roman" w:hAnsi="Times New Roman" w:cs="Times New Roman"/>
        </w:rPr>
      </w:pPr>
    </w:p>
    <w:p w14:paraId="55F6F038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210 – Soruşturma Denetimi</w:t>
      </w:r>
    </w:p>
    <w:p w14:paraId="7A36AE88" w14:textId="7D2DCD90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DBKG iç soruşturmaları, bağımsız gözlemci veya dış denetçi katılımı olmadan disiplin cezası veremez.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İçten yürütülen soruşturmaların tarafsızlığı güvence altına alınır.</w:t>
      </w:r>
    </w:p>
    <w:p w14:paraId="1ED29450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211 – Kamuya Açık Şikâyet Mekanizması</w:t>
      </w:r>
    </w:p>
    <w:p w14:paraId="38686F0A" w14:textId="613406B2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DBKG uygulamalarına ilişkin şikâyetler için erişilebilir, anonim ve kayıtlı bir kamu şikâyet mekanizması sağlanır.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Şikâyetlerin takibi ve sonuç bildirimleri şeffaf olmalıdır.</w:t>
      </w:r>
    </w:p>
    <w:p w14:paraId="1978B29E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212 – Sınırlandırılmış Acil Yetkiler</w:t>
      </w:r>
    </w:p>
    <w:p w14:paraId="4ABE37E9" w14:textId="23F1BE65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Acil durumlarda DBKG’ye verilen geniş yetkiler, süreyle sınırlı, ölçülebilir ve üst denetim/yeniden onay mekanizmasına tabi olmalıdır.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Süre dolunca yetkiler otomatik olarak geri çekilir; uzatma denetlenir.</w:t>
      </w:r>
    </w:p>
    <w:p w14:paraId="7E73D296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213 – Yaptırımlar ve Mali Cezalar</w:t>
      </w:r>
    </w:p>
    <w:p w14:paraId="34BBEB6E" w14:textId="0C21F978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DBKG’nin hukuka aykırı uygulamaları tespit edildiğinde, idari para cezaları ve diğer mali yaptırımlar uygulanabilir.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Mali yaptırımlar caydırıcı ve orantılı olmalıdır.</w:t>
      </w:r>
    </w:p>
    <w:p w14:paraId="28439C9A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214 – Kolektif Hak İhlali Davaları</w:t>
      </w:r>
    </w:p>
    <w:p w14:paraId="32944026" w14:textId="0E6C1CBB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Çok sayıda kişinin aynı DBKG uygulamasından zarar görmesi halinde, toplu dava veya kolektif tazminat mekanizmaları açılabilir.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Kolektif hak arama yolları mağduriyetleri etkin biçimde gidermeyi amaçlar.</w:t>
      </w:r>
    </w:p>
    <w:p w14:paraId="7C6DBA1B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215 – Denetçi Erişim Yetkisi</w:t>
      </w:r>
    </w:p>
    <w:p w14:paraId="74207802" w14:textId="6496E4E2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Bağımsız denetçiler, gerekli delilleri inceleyebilmek için sınırlı ve denetlenebilir biçimde sisteme erişim elde edebilir.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Erişim kayıtlı, sınırlandırılmış ve geri alınabilir olmalıdır.</w:t>
      </w:r>
    </w:p>
    <w:p w14:paraId="1CA8CE61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216 – İdari İptal ve İyileştirme Emri</w:t>
      </w:r>
    </w:p>
    <w:p w14:paraId="52414064" w14:textId="0BC0CE2D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lastRenderedPageBreak/>
        <w:t xml:space="preserve">Yetkili idare, DBKG uygulamasını hukuka aykırı bulursa, iptal </w:t>
      </w:r>
      <w:r w:rsidR="008B4CD8" w:rsidRPr="00EF0F83">
        <w:rPr>
          <w:rFonts w:ascii="Times New Roman" w:hAnsi="Times New Roman" w:cs="Times New Roman"/>
        </w:rPr>
        <w:t>ile</w:t>
      </w:r>
      <w:r w:rsidRPr="00EF0F83">
        <w:rPr>
          <w:rFonts w:ascii="Times New Roman" w:hAnsi="Times New Roman" w:cs="Times New Roman"/>
        </w:rPr>
        <w:t xml:space="preserve"> iyileştirme (remediation) emri verebilir.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İyileştirme planı bağlayıcıdır ve denetimle takip edilir.</w:t>
      </w:r>
    </w:p>
    <w:p w14:paraId="2C502B00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217 – Şeffaflık İçin Kısıtlı Veri Paylaşımı</w:t>
      </w:r>
    </w:p>
    <w:p w14:paraId="629FB13D" w14:textId="6A174C14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DBKG, toplumsal denetim amacıyla anonimleştirilmiş ve özetlenmiş performans verilerini düzenli şekilde yetkili kurumlarla paylaşır.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Paylaşım kişisel veriyi açığa çıkarmamalıdır.</w:t>
      </w:r>
    </w:p>
    <w:p w14:paraId="010CF4D7" w14:textId="77777777" w:rsidR="00D41D01" w:rsidRDefault="00D41D01" w:rsidP="00EF0F83">
      <w:pPr>
        <w:rPr>
          <w:rFonts w:ascii="Times New Roman" w:hAnsi="Times New Roman" w:cs="Times New Roman"/>
          <w:b/>
          <w:bCs/>
        </w:rPr>
      </w:pPr>
    </w:p>
    <w:p w14:paraId="16F07E6C" w14:textId="77777777" w:rsidR="00D41D01" w:rsidRDefault="00D41D01" w:rsidP="00EF0F83">
      <w:pPr>
        <w:rPr>
          <w:rFonts w:ascii="Times New Roman" w:hAnsi="Times New Roman" w:cs="Times New Roman"/>
          <w:b/>
          <w:bCs/>
        </w:rPr>
      </w:pPr>
    </w:p>
    <w:p w14:paraId="235F5AD0" w14:textId="69199EDD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218 – Yasama Denetimi ve Raporlama</w:t>
      </w:r>
    </w:p>
    <w:p w14:paraId="4F0EB6CE" w14:textId="232EB706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Mevzuat koyucu organ, DBKG faaliyetleri hakkında düzenli bilgi talep etme ve uyumsuzluk halinde mevzuatla müdahale yetkisine sahiptir.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Yasama gözetimi, demokratik hesap verebilirliği sağlar.</w:t>
      </w:r>
    </w:p>
    <w:p w14:paraId="0287CD63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219 – İdari Sorumluluk Defteri</w:t>
      </w:r>
    </w:p>
    <w:p w14:paraId="3DF18944" w14:textId="52302716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DBKG uygulamalarından kaynaklanan idari kararlar kayıt altına alınır; yanlış karar alan yetkililer idari sorumluluk taşır.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Sorumluluk kaydı, yetki kötüye kullanımını azaltır.</w:t>
      </w:r>
    </w:p>
    <w:p w14:paraId="762BD2D6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220 – Zorunlu Uyumluluk Zaman Çizelgesi</w:t>
      </w:r>
    </w:p>
    <w:p w14:paraId="0A44537B" w14:textId="77777777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DBKG’ye yeni yasalar veya düzenlemeler getirildiğinde, belirlenen makul süre içinde uyum planı sunmak ve uygulamak zorundadır.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Geçiş süreleri adil ve uygulanabilir olmalı, uzatma yalnızca makul gerekçeyle verilebilir.</w:t>
      </w:r>
    </w:p>
    <w:p w14:paraId="45FF8F30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221 – Başvuru Usulü ve Form Şekli</w:t>
      </w:r>
    </w:p>
    <w:p w14:paraId="3DB1C1AC" w14:textId="1C5862E4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DBKG’ye ilişkin idari veya adli başvurular için standart başvuru formu ve ekleri zorunludur.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Form, başvuru sahibinin kimliği, iddia edilen zarar, talep edilen hukuki işlem ve kanıt listesi gibi asgari bilgileri içermelidir.</w:t>
      </w:r>
    </w:p>
    <w:p w14:paraId="675FC304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222 – Ön İhbar Zorunluluğu</w:t>
      </w:r>
    </w:p>
    <w:p w14:paraId="4B9AE9BB" w14:textId="05D68DE3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Tazminat veya itiraz başvurularından önce DBKG’ye makul süreyle yazılı ön ihbar yapılması zorunludur (istisnalar acil hallerde saklıdır).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Ön ihbar, uzlaşma ve hızlı çözüm olanağı sağlar; gereksiz yargı yükünü azaltır.</w:t>
      </w:r>
    </w:p>
    <w:p w14:paraId="110595A2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223 – Başvuru İnceleme Süresi</w:t>
      </w:r>
    </w:p>
    <w:p w14:paraId="1FCD0BBC" w14:textId="130DF4C4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DBKG, gelen her başvuruyu usulden kayda alıp otuz (30) iş günü içinde ilk değerlendirmesini tamamlayıp başvuru sahibine sonuç bildirir.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Süre, ek belge talebi veya derin inceleme gerektiren durumlarda makul gerekçe ile uzatılabilir.</w:t>
      </w:r>
    </w:p>
    <w:p w14:paraId="18480118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lastRenderedPageBreak/>
        <w:t>Madde 224 – Acil Tedbir Talebi</w:t>
      </w:r>
    </w:p>
    <w:p w14:paraId="536E1642" w14:textId="1973B8A1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Başvuru sahibi, ciddi ve telafisi güç zarar iddiasında ise acil tedbir (örn. geçici erişim durdurma, veri dondurma) talep edebilir; DBKG bu talebi hızlı biçimde değerlendirmekle yükümlüdür.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Acil tedbir talepleri kısa sürede karara bağlanmalı; gereksiz gecikme telafisi zor zararlara yol açar.</w:t>
      </w:r>
    </w:p>
    <w:p w14:paraId="4158C256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225 – Delil Saklama Emri</w:t>
      </w:r>
    </w:p>
    <w:p w14:paraId="0524275A" w14:textId="77777777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İddia halinde mahkeme veya yetkili merciin talebiyle DBKG, ilgili kayıt ve verileri değiştirmemek üzere geçici saklama emri altına alınır.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Delil koruması, sonradan delil yok etme riskini ortadan kaldırır.</w:t>
      </w:r>
    </w:p>
    <w:p w14:paraId="57064D75" w14:textId="154D3E6A" w:rsidR="00EF0F83" w:rsidRPr="00EF0F83" w:rsidRDefault="00EF0F83" w:rsidP="00EF0F83">
      <w:pPr>
        <w:rPr>
          <w:rFonts w:ascii="Times New Roman" w:hAnsi="Times New Roman" w:cs="Times New Roman"/>
        </w:rPr>
      </w:pPr>
    </w:p>
    <w:p w14:paraId="27D67053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226 – Delil Yükü ve Ölçütü</w:t>
      </w:r>
    </w:p>
    <w:p w14:paraId="5A3E0E5A" w14:textId="077EBF86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Tazminat taleplerinde genel yük, iddia sahibindedir; ağır ihmâl veya kötü niyet iddialarında DBKG’nin savunma belgeleri özgün olarak istenir.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Adil bir süreç için tarafların delil sunma ve çürütme imkanları dengelenir.</w:t>
      </w:r>
    </w:p>
    <w:p w14:paraId="19B97D19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227 – Hızlandırılmış İşlem Mekanizması</w:t>
      </w:r>
    </w:p>
    <w:p w14:paraId="478C5347" w14:textId="248632A6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Küçük meblağlı zararlarda veya açık delilli vakalarda, hızlı yargılama yolu (fast-track) uygulanır; süreç kısaltma hedefiyle sınırlama kuralları konulur.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Bu mekanizma mahkeme yükünü azaltır ve mağdura çabuk çözüm sağlar.</w:t>
      </w:r>
    </w:p>
    <w:p w14:paraId="6D639F3C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228 – Uzlaşma ve Arabuluculuk Teşviki</w:t>
      </w:r>
    </w:p>
    <w:p w14:paraId="44ACA217" w14:textId="4B51E245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Mahkeme öncesi veya süreç içinde taraflar uzlaşmaya yönlendirilebilir; uzlaşma anlaşmaları yazılı, imzalı ve icraya elverişli olmalıdır.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Uzlaşma başarıyla sonuçlanırsa taraflar kesin hüküm mahiyetinde belgeyle bağlıdır.</w:t>
      </w:r>
    </w:p>
    <w:p w14:paraId="2DD333E8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229 – Tazminat Hesaplama İlkeleri</w:t>
      </w:r>
    </w:p>
    <w:p w14:paraId="01742621" w14:textId="1F625459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Tazminatlar doğrudan zarar, dolaylı zarar (olası) ve makul tazminat giderleri (hukuk masrafları dahil) dikkate alınarak hesaplanır; hesaplama kriterleri açıkça gösterilir.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Hesaplama şeffaf olmalı; formül ve parametreler karar metninde belirtilir.</w:t>
      </w:r>
    </w:p>
    <w:p w14:paraId="5FE75FAE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230 – Asgari ve Azami Tazminat Tavanı</w:t>
      </w:r>
    </w:p>
    <w:p w14:paraId="42F8E8A3" w14:textId="1A4AA7A9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Belirli kategoriler için asgari ve azami tazminat aralıkları (tavan/floor) mevzuatta belirtilir; mahkeme takdir yetkisini kullanırken bu aralıklara uyar.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Tavan/alt sınır, aşırı belirsizlikleri ve keyfi kararları azaltır.</w:t>
      </w:r>
    </w:p>
    <w:p w14:paraId="62018B9B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231 – Faiz ve Gecikme Hesabı</w:t>
      </w:r>
    </w:p>
    <w:p w14:paraId="20762DE6" w14:textId="3D0EC341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Tazminat kararlarına uygulanacak faiz oranı, mahkeme kararında belirtilir; gecikme süresine göre faiz işlemi formülü açıkça gösterilir.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lastRenderedPageBreak/>
        <w:t>Açıklama:</w:t>
      </w:r>
      <w:r w:rsidRPr="00EF0F83">
        <w:rPr>
          <w:rFonts w:ascii="Times New Roman" w:hAnsi="Times New Roman" w:cs="Times New Roman"/>
        </w:rPr>
        <w:t xml:space="preserve"> Faiz hesaplaması, mağdurun maruz kaldığı ekonomik etkinin telafi edilmesine yöneliktir.</w:t>
      </w:r>
    </w:p>
    <w:p w14:paraId="70CB8D9E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232 – Mali Cezaların İbra ve Mahsubu</w:t>
      </w:r>
    </w:p>
    <w:p w14:paraId="7346114F" w14:textId="7A656BAD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İdari veya mahkeme kararıyla uygulanan mali cezalar, düzenli bildirim ve ödeme planı ile tahsil edilir; haciz ve icra yöntemleri mevzuata göre düzenlenir.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Adil tahsil süreçleri hem devlet hem de kurum açısından öngörülebilirlik sağlar.</w:t>
      </w:r>
    </w:p>
    <w:p w14:paraId="6212E973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233 – Hukukî Masraf ve Avukatlık Ücretleri</w:t>
      </w:r>
    </w:p>
    <w:p w14:paraId="0A92D465" w14:textId="77777777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Başarılı dava sonucunda mahkeme, makul hukukî masrafları ve avukat ücretlerini kısmen veya tamamen tazminata ekleyebilir.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Masraf tazmini, erişilebilir adalet ilkesini destekler.</w:t>
      </w:r>
    </w:p>
    <w:p w14:paraId="3DEAE495" w14:textId="6255B8C1" w:rsidR="00EF0F83" w:rsidRPr="00EF0F83" w:rsidRDefault="00EF0F83" w:rsidP="00EF0F83">
      <w:pPr>
        <w:rPr>
          <w:rFonts w:ascii="Times New Roman" w:hAnsi="Times New Roman" w:cs="Times New Roman"/>
        </w:rPr>
      </w:pPr>
    </w:p>
    <w:p w14:paraId="77500350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234 – Toplu Tazminat Usulü</w:t>
      </w:r>
    </w:p>
    <w:p w14:paraId="2615A2A0" w14:textId="0E629C13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Birden çok kişinin aynı sebeple zarar görmesi halinde toplu tazminat (class action tarzı) usulü uygulanır; prosedürün kabul koşulları ve temsil kriterleri kanunda belirtilir.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Kolektif usul, küçük talepleri etkin biçimde birleştirir</w:t>
      </w:r>
    </w:p>
    <w:p w14:paraId="270CA918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235 – Acil Fon Kullanım Şeffaflığı</w:t>
      </w:r>
    </w:p>
    <w:p w14:paraId="79A09BE9" w14:textId="780A4C3B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Daha önce öngörülen acil müdahale fonu kullanıldığında, harcamalar ve tazminat ödemeleri ayrıntılı şekilde raporlanır ve denetime açılır.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Fon kullanımı şeffaf olmalı; kötüye kullanım önlenir.</w:t>
      </w:r>
    </w:p>
    <w:p w14:paraId="218A3C3F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236 – Uzman Raporu Zorunluluğu</w:t>
      </w:r>
    </w:p>
    <w:p w14:paraId="66C8499F" w14:textId="3E1B70A4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Teknik ve uzmanlık gerektiren uyuşmazlıklarda mahkeme, bağımsız uzman raporu isteyebilir; uzman seçim kriterleri taraflara duyurulur.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Uzman raporları sürecin adil ve teknik dayanaklı olmasını sağlar.</w:t>
      </w:r>
    </w:p>
    <w:p w14:paraId="2CBD5538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237 – Geçici İnfaz Engeli</w:t>
      </w:r>
    </w:p>
    <w:p w14:paraId="6AB61346" w14:textId="3DBD0B23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DBKG aleyhine açılan dava sonuçlanana kadar, mahkeme haklılık şüphesine göre belli işlemleri geçici olarak durdurma yetkisine sahiptir.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Bu, davanın etkileri devam ederken telafi edilemeyecek zararları azaltır.</w:t>
      </w:r>
    </w:p>
    <w:p w14:paraId="660E465C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238 – Delillerin Bağımsız İncelenmesi</w:t>
      </w:r>
    </w:p>
    <w:p w14:paraId="4F2C0E3E" w14:textId="1861031A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Gizliliğe tabi veriler söz konusu ise, mahkeme yetkili bilirkişi veya denetçi aracılığıyla delilleri bağımsız biçimde incelettirebilir.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İnceleme neticesi, tarafların iddia ve savunmalarının değerlendirilmesinde kullanılır.</w:t>
      </w:r>
    </w:p>
    <w:p w14:paraId="682B30D8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239 – İcra ve Uygulama Takibi</w:t>
      </w:r>
    </w:p>
    <w:p w14:paraId="315080C8" w14:textId="5CC0B790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lastRenderedPageBreak/>
        <w:t>Mahkeme veya idari kararların uygulanması, yetkili icra organları tarafından takip edilir; uygulanmama halinde ek yaptırımlar öngörülür.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Hükümlerin etkin uygulanması, kararın amacına ulaşmasını sağlar.</w:t>
      </w:r>
    </w:p>
    <w:p w14:paraId="78693DA9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240 – İstinaf ve Temyiz Süreleri</w:t>
      </w:r>
    </w:p>
    <w:p w14:paraId="69B817FB" w14:textId="684EF536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Karar sonrası itiraz kanalları (istinaf/temyiz) ile süreler, başvuru sahibine açıkça bildirilir; sürelerin işlemeye başlaması için bildirim esas alınır.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Süre bildirimleri, hukuki belirsizlikleri azaltır.</w:t>
      </w:r>
    </w:p>
    <w:p w14:paraId="567CF7C9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241 – İcra Tedbirleri İçin Teminat</w:t>
      </w:r>
    </w:p>
    <w:p w14:paraId="133AC0AD" w14:textId="77777777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DBKG aleyhine tedbir kararı verilmesi halinde, mahkeme teminat veya güvence talep edebilir; teminat şekilleri kanunda belirtilir.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Teminat, kötü niyetli veya haksız tedbir taleplerinin önüne geçer.</w:t>
      </w:r>
    </w:p>
    <w:p w14:paraId="4FFE5A7A" w14:textId="6A82327E" w:rsidR="00EF0F83" w:rsidRPr="00EF0F83" w:rsidRDefault="00EF0F83" w:rsidP="00EF0F83">
      <w:pPr>
        <w:rPr>
          <w:rFonts w:ascii="Times New Roman" w:hAnsi="Times New Roman" w:cs="Times New Roman"/>
        </w:rPr>
      </w:pPr>
    </w:p>
    <w:p w14:paraId="6BE1EBE9" w14:textId="5A349156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 xml:space="preserve">Madde 242 – Tazminatın Aylık </w:t>
      </w:r>
      <w:r w:rsidR="008B4CD8" w:rsidRPr="00EF0F83">
        <w:rPr>
          <w:rFonts w:ascii="Times New Roman" w:hAnsi="Times New Roman" w:cs="Times New Roman"/>
          <w:b/>
          <w:bCs/>
        </w:rPr>
        <w:t>Rutinleştirilmesi</w:t>
      </w:r>
    </w:p>
    <w:p w14:paraId="688E857A" w14:textId="16CD592D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Bazı tazminatlar tek defaya mahsus değil, aylık veya dönemsel ödemeler şeklinde yapılandırılabilir; ödemelerin garanti mekanizmaları düzenlenir.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</w:t>
      </w:r>
      <w:r w:rsidR="008B4CD8" w:rsidRPr="00EF0F83">
        <w:rPr>
          <w:rFonts w:ascii="Times New Roman" w:hAnsi="Times New Roman" w:cs="Times New Roman"/>
        </w:rPr>
        <w:t>Rutinleştirme</w:t>
      </w:r>
      <w:r w:rsidRPr="00EF0F83">
        <w:rPr>
          <w:rFonts w:ascii="Times New Roman" w:hAnsi="Times New Roman" w:cs="Times New Roman"/>
        </w:rPr>
        <w:t>, mağdurun sürekli zararını dengeli biçimde telafi eder.</w:t>
      </w:r>
    </w:p>
    <w:p w14:paraId="3EA3988D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243 – Uyuşmazlıkta Alternatif Uzlaşma Kuralları</w:t>
      </w:r>
    </w:p>
    <w:p w14:paraId="5C06A481" w14:textId="0F4CFFE5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Taraflar, mahkeme onayıyla bağlayıcı alternatif çözüm (örn. bağlayıcı tahkim, hakem heyeti) yöntemini seçebilir; prosedür sözleşmede veya karar usulünde gösterilir.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Alternatif yollar, süreci hızlandırıp maliyeti azaltabilir.</w:t>
      </w:r>
    </w:p>
    <w:p w14:paraId="05E1D896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244 – Cezai Soruşturmaya Sevk Koşulları</w:t>
      </w:r>
    </w:p>
    <w:p w14:paraId="31721847" w14:textId="1801B203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DBKG uygulamalarından doğan fiillerde cezaî unsur şüphesi varsa, yetkili savcılığa sevk ve soruşturma prosedürü derhal başlatılır.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İdari tazminat yanında gerekli hallerde cezaî yaptırım da uygulanabilir.</w:t>
      </w:r>
    </w:p>
    <w:p w14:paraId="011A2454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245 – İcra Takibi ve Hesap Kesimi</w:t>
      </w:r>
    </w:p>
    <w:p w14:paraId="3955B654" w14:textId="1416CAF3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Tazminat kararları doğrultusunda yapılacak icra takibinde, tarafların banka, mal beyanı ve hesap dökümleri yasal çerçevede talep edilebilir.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İcra işlemleri şeffaf ve hukuka uygun olmalıdır.</w:t>
      </w:r>
    </w:p>
    <w:p w14:paraId="28408464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246 – Yargılama Giderlerinin Paylaştırılması</w:t>
      </w:r>
    </w:p>
    <w:p w14:paraId="4BED7DDD" w14:textId="4974860C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Davada başarısız tarafın yargılama giderlerinin tamamını veya bir kısmını üstlenmesi mahkeme takdirine bağlıdır; kötü niyetli savunma ilave yaptırımlar doğurabilir.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Bu, kötü niyetli davaları caydırıcı kılmayı amaçlar.</w:t>
      </w:r>
    </w:p>
    <w:p w14:paraId="71027068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247 – Zaman Aşımı ve Hak Kayıpları</w:t>
      </w:r>
    </w:p>
    <w:p w14:paraId="4963D0D8" w14:textId="164755ED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lastRenderedPageBreak/>
        <w:t>Tazminat ve başvuru hakları için öngörülen zamanaşımı süreleri açıkça tanımlanır; sürenin işlemeye başlaması için bilgilenme şartı aranabilir.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Zamanaşımı kuralları hakların korunmasını dengeler.</w:t>
      </w:r>
    </w:p>
    <w:p w14:paraId="154FCA55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248 – Hükümlerin Yürürlüğe Giriş Düzeni</w:t>
      </w:r>
    </w:p>
    <w:p w14:paraId="17B950F4" w14:textId="49B81739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Mahkeme veya idari kararlarla verilen yükümlülüklerin yürürlüğe giriş tarihleri ve kademeli uygulama planları karar metninde gösterilir.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Kademelendirme, pratik uyum sürecini kolaylaştırır.</w:t>
      </w:r>
    </w:p>
    <w:p w14:paraId="3B63529E" w14:textId="7777777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249 – İcra Takibi Öncesi Arabuluculuk Zorunluluğu</w:t>
      </w:r>
    </w:p>
    <w:p w14:paraId="6C655728" w14:textId="77777777" w:rsidR="00EF0F83" w:rsidRP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Belirli kategori tazminatlar için icra takibine geçmeden önce kısa süreli zorunlu arabuluculuk denemesi öngörülebilir.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Arabuluculuk, icra sürecinin başvuru ve maliyetini azaltabilir.</w:t>
      </w:r>
    </w:p>
    <w:p w14:paraId="06CD789E" w14:textId="6427FFF4" w:rsidR="00EF0F83" w:rsidRPr="00EF0F83" w:rsidRDefault="00EF0F83" w:rsidP="00EF0F83">
      <w:pPr>
        <w:rPr>
          <w:rFonts w:ascii="Times New Roman" w:hAnsi="Times New Roman" w:cs="Times New Roman"/>
        </w:rPr>
      </w:pPr>
    </w:p>
    <w:p w14:paraId="153DED43" w14:textId="77777777" w:rsidR="00D41D01" w:rsidRDefault="00D41D01" w:rsidP="00EF0F83">
      <w:pPr>
        <w:rPr>
          <w:rFonts w:ascii="Times New Roman" w:hAnsi="Times New Roman" w:cs="Times New Roman"/>
          <w:b/>
          <w:bCs/>
        </w:rPr>
      </w:pPr>
    </w:p>
    <w:p w14:paraId="13990C35" w14:textId="365FD367" w:rsidR="00EF0F83" w:rsidRPr="00EF0F83" w:rsidRDefault="00EF0F83" w:rsidP="00EF0F83">
      <w:pPr>
        <w:rPr>
          <w:rFonts w:ascii="Times New Roman" w:hAnsi="Times New Roman" w:cs="Times New Roman"/>
          <w:b/>
          <w:bCs/>
        </w:rPr>
      </w:pPr>
      <w:r w:rsidRPr="00EF0F83">
        <w:rPr>
          <w:rFonts w:ascii="Times New Roman" w:hAnsi="Times New Roman" w:cs="Times New Roman"/>
          <w:b/>
          <w:bCs/>
        </w:rPr>
        <w:t>Madde 250 – Uygulama İyileştirme ve Denetim Raporu</w:t>
      </w:r>
    </w:p>
    <w:p w14:paraId="717619AE" w14:textId="77777777" w:rsidR="00EF0F83" w:rsidRDefault="00EF0F83" w:rsidP="00EF0F83">
      <w:pPr>
        <w:rPr>
          <w:rFonts w:ascii="Times New Roman" w:hAnsi="Times New Roman" w:cs="Times New Roman"/>
        </w:rPr>
      </w:pPr>
      <w:r w:rsidRPr="00EF0F83">
        <w:rPr>
          <w:rFonts w:ascii="Times New Roman" w:hAnsi="Times New Roman" w:cs="Times New Roman"/>
        </w:rPr>
        <w:t>Her büyük dava/kamuoyu etkili karar sonrası, uygulama kurumları tarafından iyileştirme planı hazırlanır ve bağımsız denetçiye sunulur; denetçi sonuçlarını raporlar.</w:t>
      </w:r>
      <w:r w:rsidRPr="00EF0F83">
        <w:rPr>
          <w:rFonts w:ascii="Times New Roman" w:hAnsi="Times New Roman" w:cs="Times New Roman"/>
        </w:rPr>
        <w:br/>
      </w:r>
      <w:r w:rsidRPr="00EF0F83">
        <w:rPr>
          <w:rFonts w:ascii="Times New Roman" w:hAnsi="Times New Roman" w:cs="Times New Roman"/>
          <w:b/>
          <w:bCs/>
        </w:rPr>
        <w:t>Açıklama:</w:t>
      </w:r>
      <w:r w:rsidRPr="00EF0F83">
        <w:rPr>
          <w:rFonts w:ascii="Times New Roman" w:hAnsi="Times New Roman" w:cs="Times New Roman"/>
        </w:rPr>
        <w:t xml:space="preserve"> Bu süreç, benzer mağduriyetlerin tekrarlanmasını önlemeye yönelik kurumsal öğrenmeyi sağlar.</w:t>
      </w:r>
    </w:p>
    <w:p w14:paraId="26CEE9ED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251 – Delegasyon Tüzüğü Zorunluluğu</w:t>
      </w:r>
    </w:p>
    <w:p w14:paraId="3613FC06" w14:textId="5E00DA58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Her DBKG delegasyonu için, yetki alanı, görevler, sınırlar ve süreleri açıkça tanımlayan yazılı bir tüzük hazırlanmak zorundadır.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Net tüzük, belirsiz yetki kullanımını ve yetki aşımını engeller.</w:t>
      </w:r>
    </w:p>
    <w:p w14:paraId="37B837A4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252 – Yetki Sınırlandırma İlkesi</w:t>
      </w:r>
    </w:p>
    <w:p w14:paraId="4B926B8A" w14:textId="61C55834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Delegasyonların devredilen yetkileri, asli organın onayıyla sınırlı olup başka birimlere devredilemez.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Zincir halinde yetki yayılması (yetki sürüklenmesi) yasaklanır.</w:t>
      </w:r>
    </w:p>
    <w:p w14:paraId="4B34688C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253 – Büyük Vizyon Onay Mekanizması</w:t>
      </w:r>
    </w:p>
    <w:p w14:paraId="4E8CEB15" w14:textId="6AD5B4DB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Delegasyonların “büyük vizyon” (stratejik hedef) ilan etmeden önce, bağımsız bir onay komisyonundan geçirilmesi zorunludur.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Vizyon beyanı, stratejik ve hukuki açıdan değerlendirilmeden resmi hale gelemez.</w:t>
      </w:r>
    </w:p>
    <w:p w14:paraId="0F235ABA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254 – Kaynak ve Kapasite Uygunluk Denetimi</w:t>
      </w:r>
    </w:p>
    <w:p w14:paraId="1F1FA290" w14:textId="238819F7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Her vizyon önerisi, gerekli insan, finans ve teknik kaynakların somut kanıtı ile sunulmak zorundadır.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Hayalî hedeflerin finansal ve operasyonel çöküşe yol açması engellenir.</w:t>
      </w:r>
    </w:p>
    <w:p w14:paraId="1BAC29CF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255 – Pilot Uygulama Şartı</w:t>
      </w:r>
    </w:p>
    <w:p w14:paraId="641178C6" w14:textId="3758DB7E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lastRenderedPageBreak/>
        <w:t>Büyük kapsamlı vizyon projeleri önce sınırlı pilot ile test edilmeden geniş uygulamaya geçirilemez.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Pilot, beklenmedik etkileri ve uyum sorunlarını erken tespit eder.</w:t>
      </w:r>
    </w:p>
    <w:p w14:paraId="0D533A3F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256 – Paydaş Katılımına Açıklık</w:t>
      </w:r>
    </w:p>
    <w:p w14:paraId="68918C00" w14:textId="66E9448B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Delegasyon vizyonları hazırlanırken etkilenen tarafların (iç/dış) görüşleri yazılı olarak alınmalı ve kayıt altına konulmalıdır.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Karar alanlarının meşruiyeti çoğulcu görüşe dayanmalıdır.</w:t>
      </w:r>
    </w:p>
    <w:p w14:paraId="32B4C580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257 – Vizyon Beyanının Kamuya Açıklanması</w:t>
      </w:r>
    </w:p>
    <w:p w14:paraId="5C098FBF" w14:textId="77777777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Onaylanan vizyonlar, özet haliyle kamuya açıklanır; ilgili riskler ve zaman çizelgesi de bildirilir.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Gizli veya sürpriz büyük değişikliklere karşı toplum korunur.</w:t>
      </w:r>
    </w:p>
    <w:p w14:paraId="75DC80D4" w14:textId="54B55412" w:rsidR="00D41D01" w:rsidRDefault="00D41D01" w:rsidP="00D41D01">
      <w:pPr>
        <w:rPr>
          <w:rFonts w:ascii="Times New Roman" w:hAnsi="Times New Roman" w:cs="Times New Roman"/>
        </w:rPr>
      </w:pPr>
    </w:p>
    <w:p w14:paraId="36F18A00" w14:textId="77777777" w:rsidR="00D41D01" w:rsidRPr="00D41D01" w:rsidRDefault="00D41D01" w:rsidP="00D41D01">
      <w:pPr>
        <w:rPr>
          <w:rFonts w:ascii="Times New Roman" w:hAnsi="Times New Roman" w:cs="Times New Roman"/>
        </w:rPr>
      </w:pPr>
    </w:p>
    <w:p w14:paraId="27473B2E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258 – Bütçe Üst Limiti Kuralı</w:t>
      </w:r>
    </w:p>
    <w:p w14:paraId="4ED3B05D" w14:textId="6B47F83D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Delegasyonların tek seferde taahhüt edebileceği maksimum bütçe üst limiti kanunda belirlenir; üst limit aşımı için yasama onayı gerekir.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Mali sorumsuzluğun önüne geçer; harcama disiplinini sağlar.</w:t>
      </w:r>
    </w:p>
    <w:p w14:paraId="2A21C46A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259 – Zaman Aşımı ve Sunset Maddesi</w:t>
      </w:r>
    </w:p>
    <w:p w14:paraId="7655FBC0" w14:textId="430B3EFC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Vizyon projeleri için başlangıçta belirlenmiş bitiş tarihleri ve otomatik sonlandırma (sunset) hükümleri bulunur.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Sonsuz taahhütlerin kurumsal yükü sınırlanır.</w:t>
      </w:r>
    </w:p>
    <w:p w14:paraId="5BA7F8FF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260 – Bağımsız Etki Değerlendirmesi</w:t>
      </w:r>
    </w:p>
    <w:p w14:paraId="15753A6C" w14:textId="217C2915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Stratejik vizyonların toplumsal, ekonomik ve çevresel etkileri bağımsız kuruluşlarca değerlendirilmeden yürürlüğe girmez.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Yansız risk analizleri, uzun vadeli zararı önler.</w:t>
      </w:r>
    </w:p>
    <w:p w14:paraId="4D4EF935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261 – Etik ve Hukukî Uyum Filtreleri</w:t>
      </w:r>
    </w:p>
    <w:p w14:paraId="4DC7DF36" w14:textId="3340D4CF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Delegasyon vizyonları insan hakları, kamu hukuku ve etik standartlara uygunsa onay alır; aksi halde reddedilir.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Vizyon, normatif çerçevenin dışında olamaz.</w:t>
      </w:r>
    </w:p>
    <w:p w14:paraId="07CAFF53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262 – Koordinasyon ve Çakışma Önleme Kurulu</w:t>
      </w:r>
    </w:p>
    <w:p w14:paraId="6CD5D7E1" w14:textId="5930DC4B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Birden fazla delegasyon aynı alana yönelik vizyon beyan ederse, koordinasyonu sağlamak üzere geçici bir uyum kurulu atanır.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Çift iş, kaynak israfı ve müdahale çatışmaları önlenir.</w:t>
      </w:r>
    </w:p>
    <w:p w14:paraId="62C7D749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263 – Misyon Göçünü Önleme (No Mission Creep)</w:t>
      </w:r>
    </w:p>
    <w:p w14:paraId="7E3AF69F" w14:textId="428013F2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lastRenderedPageBreak/>
        <w:t>Delegasyonlar, onaylanmış vizyon sınırlarını aşan yeni amaçları uygulamaya alamaz; değişiklikler yeniden onay gerektirir.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Kademeli yetki genişlemelerine karşı hukuki bariyer oluşturur.</w:t>
      </w:r>
    </w:p>
    <w:p w14:paraId="371437F6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264 – Meşruiyet Kanıtı Sunma Yükümlülüğü</w:t>
      </w:r>
    </w:p>
    <w:p w14:paraId="0DE019EF" w14:textId="4689F791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Delegasyon liderleri, vizyonun hukuki ve etik dayanaklarını içeren “meşruiyet dosyası” sunmak zorundadır.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Sözel yükümlülük yerine yazılı ve denetlenebilir belge esastır.</w:t>
      </w:r>
    </w:p>
    <w:p w14:paraId="694FA789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265 – Performans Kilitleri ve Aşama Onayları</w:t>
      </w:r>
    </w:p>
    <w:p w14:paraId="2FDB1813" w14:textId="77777777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Vizyon projeleri aşamalara bölünür; her aşama tamamlanmadan sonraki aşama için onay verilemez.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Aşamalandırma kaynak israfını ve risk yayılmasını azaltır.</w:t>
      </w:r>
    </w:p>
    <w:p w14:paraId="03375A90" w14:textId="227CDB44" w:rsidR="00D41D01" w:rsidRDefault="00D41D01" w:rsidP="00D41D01">
      <w:pPr>
        <w:rPr>
          <w:rFonts w:ascii="Times New Roman" w:hAnsi="Times New Roman" w:cs="Times New Roman"/>
        </w:rPr>
      </w:pPr>
    </w:p>
    <w:p w14:paraId="1E4AF8A8" w14:textId="77777777" w:rsidR="00D41D01" w:rsidRPr="00D41D01" w:rsidRDefault="00D41D01" w:rsidP="00D41D01">
      <w:pPr>
        <w:rPr>
          <w:rFonts w:ascii="Times New Roman" w:hAnsi="Times New Roman" w:cs="Times New Roman"/>
        </w:rPr>
      </w:pPr>
    </w:p>
    <w:p w14:paraId="7D99E8A0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266 – İptal ve Geri Çekme Hakkı</w:t>
      </w:r>
    </w:p>
    <w:p w14:paraId="4BDD2C84" w14:textId="3D31F7AF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Bağımsız denetim olumsuz raporu veya yasa dışı uygulama tespitinde vizyon projesi durdurulur ve geri çekilir.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Erken müdahale ile zarar minimize edilir.</w:t>
      </w:r>
    </w:p>
    <w:p w14:paraId="7F01A668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267 – Bağlayıcı Sorumluluk İmzası</w:t>
      </w:r>
    </w:p>
    <w:p w14:paraId="7AAEE1C2" w14:textId="40F7C652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Delegasyon sorumluları, vizyon taahhüdünü imzalayarak hukuki ve mali sorumluluk üstlenirler.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"Sistem adına" soyut kaçışlara karşı somut sorumluluk mekanizmasıdır.</w:t>
      </w:r>
    </w:p>
    <w:p w14:paraId="2217CFD5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268 – Kamu Kaynaklarının Önceliklendirilmesi</w:t>
      </w:r>
    </w:p>
    <w:p w14:paraId="643BC624" w14:textId="7C801825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Kamu kaynaklarını talep eden vizyonlar, kamu yararı kriterlerine göre sıralanır; öncelik politikası yazılı olarak belirlenir.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Kaynak dağılımında keyfî tercihlere engel olur.</w:t>
      </w:r>
    </w:p>
    <w:p w14:paraId="642D444B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269 – Ulusal Stratejik Uyumluluk Testi</w:t>
      </w:r>
    </w:p>
    <w:p w14:paraId="579C5E45" w14:textId="592B33E8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Delegasyon vizyonları, ulusal stratejik hedeflerle uyumlu değilse yeniden değerlendirme ve uyum planı zorunludur.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Parçalı hedeflerin ulusal bütünlüğü bozması engellenir.</w:t>
      </w:r>
    </w:p>
    <w:p w14:paraId="24D97375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270 – Uluslararası Yansımaların İncelenmesi</w:t>
      </w:r>
    </w:p>
    <w:p w14:paraId="3786A960" w14:textId="69733DD8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Büyük vizyonların uluslararası etkileri (diplomasi, sınır ötesi veri vs.) önceden analiz edilir ve ilgili dış kurumlarla koordinasyon sağlanır.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Dış politika sürprizleri ve hukuki uyuşmazlıklar önlenir.</w:t>
      </w:r>
    </w:p>
    <w:p w14:paraId="441C8B63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271 – Şeffaf Performans Panosu</w:t>
      </w:r>
    </w:p>
    <w:p w14:paraId="50455D24" w14:textId="05187D43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lastRenderedPageBreak/>
        <w:t>Onaylanan vizyonlara ilişkin temel metrikler, bütçe tüketimi ve aşama durumu kamu panosunda güncel tutulur.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Şeffaf takip vatandaş denetimini ve hesap verebilirliği artırır.</w:t>
      </w:r>
    </w:p>
    <w:p w14:paraId="1012FFC1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272 – Siyasi Tarafsızlık Güvencesi</w:t>
      </w:r>
    </w:p>
    <w:p w14:paraId="0CF82D4F" w14:textId="178A1523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Delegasyon vizyonları siyasi kampanya veya bireysel siyasi fayda için araçlaştırılamaz; ihlal yaptırımı mevcuttur.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Kamu görevlerinin siyasallaşması engellenir.</w:t>
      </w:r>
    </w:p>
    <w:p w14:paraId="27EED517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273 – Risk Sigortası Zorunluluğu</w:t>
      </w:r>
    </w:p>
    <w:p w14:paraId="10719F56" w14:textId="77777777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Yüksek riskli vizyon projeleri için, projeye özgü mali zararları kapsayan sigorta/garanti mekanizması sağlanmalıdır.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Toplumsal zararların mali yükü izole edilir.</w:t>
      </w:r>
    </w:p>
    <w:p w14:paraId="71FA60C2" w14:textId="61CB13F4" w:rsidR="00D41D01" w:rsidRDefault="00D41D01" w:rsidP="00D41D01">
      <w:pPr>
        <w:rPr>
          <w:rFonts w:ascii="Times New Roman" w:hAnsi="Times New Roman" w:cs="Times New Roman"/>
        </w:rPr>
      </w:pPr>
    </w:p>
    <w:p w14:paraId="31FAB5C7" w14:textId="77777777" w:rsidR="00D41D01" w:rsidRPr="00D41D01" w:rsidRDefault="00D41D01" w:rsidP="00D41D01">
      <w:pPr>
        <w:rPr>
          <w:rFonts w:ascii="Times New Roman" w:hAnsi="Times New Roman" w:cs="Times New Roman"/>
        </w:rPr>
      </w:pPr>
    </w:p>
    <w:p w14:paraId="2D5EED5C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274 – Teknoloji ve Güvenlik Olgunluğu Kriteri</w:t>
      </w:r>
    </w:p>
    <w:p w14:paraId="6ED62F40" w14:textId="7A1C55D3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Teknolojiye dayalı vizyonlar, belirlenmiş olgunluk (TRL/ML) eşiğini karşılamadan geniş çaplı uygulamaya konamaz.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Teknolojik risklerin erken yayılımı engellenir.</w:t>
      </w:r>
    </w:p>
    <w:p w14:paraId="29DFAA9B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275 – Dış Denetim ve Periyodik Yeniden Onay</w:t>
      </w:r>
    </w:p>
    <w:p w14:paraId="2464B99B" w14:textId="2C158B3F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Her vizyon projesi, belirli periyotlarla dış denetimden geçer; gerekli görülürse yeniden onay talep edilir.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Uzun süreli projelerde sürdürme meşruiyeti korunur.</w:t>
      </w:r>
    </w:p>
    <w:p w14:paraId="47313A29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276 – İyi Niyet ve İlerleme Raporu</w:t>
      </w:r>
    </w:p>
    <w:p w14:paraId="48DF4F94" w14:textId="518BB2A6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Delegasyonlar, vizyon taahhüdünün ilerleyişini ve sapmalarını çeyrek dönem raporlarıyla belgeler.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Süreç boyunca yapılan sapmalar tespit edilip düzeltilebilir.</w:t>
      </w:r>
    </w:p>
    <w:p w14:paraId="39FCB0CA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277 – Toplumsal Onay Mekanizması</w:t>
      </w:r>
    </w:p>
    <w:p w14:paraId="45A44FE5" w14:textId="77515E12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Genel halkı etkileyen vizyonlar için sınırlı ve yapılandırılmış kamuoyu yoklaması veya danışma süreci gerekir.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Demokratik meşruiyet ve toplumsal kabul sağlanır.</w:t>
      </w:r>
    </w:p>
    <w:p w14:paraId="4B99EE11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278 – Yedekleme ve Devir Planı</w:t>
      </w:r>
    </w:p>
    <w:p w14:paraId="49644DC2" w14:textId="0792DB98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Vizyon projelerinin liderliği el değiştirdiğinde, devralma planı ve bilgi devri zorunludur.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Kişiye bağımlı projelerin sürekliliği güvence altına alınır.</w:t>
      </w:r>
    </w:p>
    <w:p w14:paraId="2807DD3A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279 – Etik İhlalde Kovuşturma Usulü</w:t>
      </w:r>
    </w:p>
    <w:p w14:paraId="3F0EBA48" w14:textId="27FEFDDC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lastRenderedPageBreak/>
        <w:t>Vizyon süreçlerinde etik ihlal tespitinde, bağımsız bir kurulla soruşturma başlatılır ve sonuçlar kamuya açık şekilde özetlenir.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Etik sapmaların gizlenmesi engellenir; öğrenme ve düzeltme sağlanır.</w:t>
      </w:r>
    </w:p>
    <w:p w14:paraId="330D2849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280 – Vizyon Revizyonu ve Kapanış Prosedürü</w:t>
      </w:r>
    </w:p>
    <w:p w14:paraId="1ACF40FA" w14:textId="77777777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Bir vizyon projesi hedeflerine ulaşamaz veya sürdürülemez hale gelirse, resmi revizyon veya kontrollü kapanış prosedürü uygulanır.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Başarısız projeler için düzenli, zararsız bir sona erdirme yolu öngörülür.</w:t>
      </w:r>
    </w:p>
    <w:p w14:paraId="0642B0E9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281 – Performans Eşikleri ve Kırmızı Çizgiler</w:t>
      </w:r>
    </w:p>
    <w:p w14:paraId="00C827D6" w14:textId="7C5D97C4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Her proje için başarısız sayılacak açık performans eşikleri (kırmızı çizgiler) önceden belirlenir; bu çizgilerin ihlali önlem/iptal sürecini tetikler.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Objektif eşikler, keyfi değerlendirmenin önüne geçer ve erken müdahaleyi sağlar.</w:t>
      </w:r>
    </w:p>
    <w:p w14:paraId="19ACFCF5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282 – Etki Azaltma (Mitigation) Planı Zorunluluğu</w:t>
      </w:r>
    </w:p>
    <w:p w14:paraId="1C711009" w14:textId="3C430637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Her potansiyel olumsuz etki için önleyici ve azaltıcı (</w:t>
      </w:r>
      <w:r w:rsidR="008B4CD8" w:rsidRPr="00D41D01">
        <w:rPr>
          <w:rFonts w:ascii="Times New Roman" w:hAnsi="Times New Roman" w:cs="Times New Roman"/>
        </w:rPr>
        <w:t>Mitigation</w:t>
      </w:r>
      <w:r w:rsidRPr="00D41D01">
        <w:rPr>
          <w:rFonts w:ascii="Times New Roman" w:hAnsi="Times New Roman" w:cs="Times New Roman"/>
        </w:rPr>
        <w:t>) planları sunulup onaylanmadan proje genişletilemez.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Risk gerçekleşmeden önce somut önlemler planlanmış olur.</w:t>
      </w:r>
    </w:p>
    <w:p w14:paraId="3880DDC2" w14:textId="0464A178" w:rsidR="00D41D01" w:rsidRPr="00D41D01" w:rsidRDefault="00D41D01" w:rsidP="00D41D01">
      <w:pPr>
        <w:rPr>
          <w:rFonts w:ascii="Times New Roman" w:hAnsi="Times New Roman" w:cs="Times New Roman"/>
        </w:rPr>
      </w:pPr>
    </w:p>
    <w:p w14:paraId="42C82B50" w14:textId="56A9D95A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 xml:space="preserve">Madde 283 – Sorumluluk Sigortası Minimum </w:t>
      </w:r>
      <w:r w:rsidR="008B4CD8" w:rsidRPr="00D41D01">
        <w:rPr>
          <w:rFonts w:ascii="Times New Roman" w:hAnsi="Times New Roman" w:cs="Times New Roman"/>
          <w:b/>
          <w:bCs/>
        </w:rPr>
        <w:t>Standart</w:t>
      </w:r>
    </w:p>
    <w:p w14:paraId="6F188E21" w14:textId="2D9438E9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Projeler için talep edilecek sorumluluk sigortasının asgari limitleri ve kapsama alanları mevzuatta belirtilir.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Mağduriyet anında tazminat imkânı garanti altına alınır.</w:t>
      </w:r>
    </w:p>
    <w:p w14:paraId="1C11862C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284 – Uluslararası Hukuk Koordinasyon Protokolü</w:t>
      </w:r>
    </w:p>
    <w:p w14:paraId="41467D4C" w14:textId="7D40F959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 xml:space="preserve">Sınır ötesi faaliyetlerde hangi ülke hukukunun hangi koşullarda uygulanacağı proje </w:t>
      </w:r>
      <w:r w:rsidR="008B4CD8" w:rsidRPr="00D41D01">
        <w:rPr>
          <w:rFonts w:ascii="Times New Roman" w:hAnsi="Times New Roman" w:cs="Times New Roman"/>
        </w:rPr>
        <w:t>belgelerinde</w:t>
      </w:r>
      <w:r w:rsidRPr="00D41D01">
        <w:rPr>
          <w:rFonts w:ascii="Times New Roman" w:hAnsi="Times New Roman" w:cs="Times New Roman"/>
        </w:rPr>
        <w:t xml:space="preserve"> netleştirilir.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Hukuki belirsizlikler önceden çözümlenmiş olur.</w:t>
      </w:r>
    </w:p>
    <w:p w14:paraId="4841B715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285 – Bağımsız İzleme Ofisi Atama Kriterleri</w:t>
      </w:r>
    </w:p>
    <w:p w14:paraId="191FF7E6" w14:textId="0C6FCA97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Büyük vizyonlar için bağımsız izleme ofisleri atanacaksa atama kriterleri (uzmanlık, tarafsızlık, süre) açıkça tanımlanır.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İzleme ofisi meşruiyeti riskleri azaltır.</w:t>
      </w:r>
    </w:p>
    <w:p w14:paraId="7A75E0DB" w14:textId="4EFA4DA1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286 – Şeffaf Satın alma ve İhale Kuralları</w:t>
      </w:r>
    </w:p>
    <w:p w14:paraId="163786C7" w14:textId="37BBC578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Bütçe kullanımı gerektiren tüm faaliyetler için şeffaf, ilanlı ve itiraza açık ihale süreci uygulanır.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Kamu kaynakları kullanımında adillik ve rekabet sağlanır.</w:t>
      </w:r>
    </w:p>
    <w:p w14:paraId="6B3A3BA2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287 – Toplumsal Fayda Taahhüdü</w:t>
      </w:r>
    </w:p>
    <w:p w14:paraId="329C1225" w14:textId="3993526D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lastRenderedPageBreak/>
        <w:t>Kamu kaynakları kullanan projeler, net bir toplumsal fayda taahhüdü ve ölçülebilir çıktı hedefi sunmak zorundadır.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Kaynakların topluma dönük ölçülebilir karşılığı olmalıdır.</w:t>
      </w:r>
    </w:p>
    <w:p w14:paraId="2870EB9C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288 – Açık Veri İlkesi (Özet Düzey)</w:t>
      </w:r>
    </w:p>
    <w:p w14:paraId="4A664FC3" w14:textId="7380F8DF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Mümkün olan ölçüde proje performans özetleri ve anonimleştirilmiş sonuçlar açık veri formatında yayımlanır.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Hesap verebilirlik ve bağımsız değerlendirme kolaylaşır.</w:t>
      </w:r>
    </w:p>
    <w:p w14:paraId="520ECE12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289 – Kültürel ve Yerel Duyarlılık Kriteri</w:t>
      </w:r>
    </w:p>
    <w:p w14:paraId="4CFF8C3F" w14:textId="35D8659E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Projeler, uygulama bölgelerinin kültürel hassasiyetlerini ve yerel düzenlemelerini gözeten uyum çalışmalarını belgelemelidir.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Yerel itirazlar ve toplumsal direnç azaltılır.</w:t>
      </w:r>
    </w:p>
    <w:p w14:paraId="02B41EB6" w14:textId="355FE8EC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 xml:space="preserve">Madde 290 – Erişilebilirlik ve Kapsayıcılık </w:t>
      </w:r>
      <w:r w:rsidR="008B4CD8" w:rsidRPr="00D41D01">
        <w:rPr>
          <w:rFonts w:ascii="Times New Roman" w:hAnsi="Times New Roman" w:cs="Times New Roman"/>
          <w:b/>
          <w:bCs/>
        </w:rPr>
        <w:t>Standart</w:t>
      </w:r>
    </w:p>
    <w:p w14:paraId="530AED14" w14:textId="77777777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Hizmet ve ürünler, erişilebilirlik standartlarına uygun olacak şekilde tasarlanmalı; engelli kullanıcıların erişimi garanti edilir.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Kapsayıcılık temel tasarım gereksinimi olmalıdır.</w:t>
      </w:r>
    </w:p>
    <w:p w14:paraId="6536049D" w14:textId="642E9B10" w:rsidR="00D41D01" w:rsidRPr="00D41D01" w:rsidRDefault="00D41D01" w:rsidP="00D41D01">
      <w:pPr>
        <w:rPr>
          <w:rFonts w:ascii="Times New Roman" w:hAnsi="Times New Roman" w:cs="Times New Roman"/>
        </w:rPr>
      </w:pPr>
    </w:p>
    <w:p w14:paraId="645BDE8A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291 – İlerleme Şeffaflığı İçin Zaman Damgası</w:t>
      </w:r>
    </w:p>
    <w:p w14:paraId="32B36CA5" w14:textId="49BF39BC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Kritik karar ve harcama belgeleri zaman damgası ile arşivlenir; tarih manipülasyonu suç sayılır.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Zaman çizelgesi bütünlüğü denetimi kolaylaştırır.</w:t>
      </w:r>
    </w:p>
    <w:p w14:paraId="285BCE22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292 – İleriye Dönük Bütçe Rezerve Şartı</w:t>
      </w:r>
    </w:p>
    <w:p w14:paraId="427C3F50" w14:textId="4816CB3F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Büyük vizyon projeleri, öngörülemeyen zarar ve düzeltmeler için belirli oranda bütçe rezervi ayırmak zorundadır.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Acil düzeltme kaynakları hızlı müdahaleyi sağlar.</w:t>
      </w:r>
    </w:p>
    <w:p w14:paraId="3395A60C" w14:textId="5744ECD3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 xml:space="preserve">Madde 293 – Sorumluluk Alt-Performans </w:t>
      </w:r>
      <w:r w:rsidR="008B4CD8" w:rsidRPr="00D41D01">
        <w:rPr>
          <w:rFonts w:ascii="Times New Roman" w:hAnsi="Times New Roman" w:cs="Times New Roman"/>
          <w:b/>
          <w:bCs/>
        </w:rPr>
        <w:t>Kılavuzu</w:t>
      </w:r>
    </w:p>
    <w:p w14:paraId="70187137" w14:textId="2D800395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Taşeron/alt yükleniciler için performans düşüklüğü halinde uygulanacak yaptırımlar ve düzeltme yükümlülükleri sözleşmede yer almalıdır.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Zincirdeki zayıf halka için proaktif önlem mekanizması kurulmuş olur.</w:t>
      </w:r>
    </w:p>
    <w:p w14:paraId="74BC4F60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294 – Deneme Sonuçlarının Yayınlama Zorunluluğu</w:t>
      </w:r>
    </w:p>
    <w:p w14:paraId="23A8519A" w14:textId="231640D9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Pilot ve deneme sonuçları, olumlu veya olumsuz olsun, bağımsız özet rapor halinde yayımlanmalıdır.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Başarısızlıkların gizlenmesi engellenir ve öğrenme sağlanır.</w:t>
      </w:r>
    </w:p>
    <w:p w14:paraId="0B4F40B6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295 – İlerleme Göstergelerinin Doğrulanması</w:t>
      </w:r>
    </w:p>
    <w:p w14:paraId="0E6847BE" w14:textId="27C296E1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lastRenderedPageBreak/>
        <w:t>Raporlanan ilerleme metrikleri bağımsız bir doğrulayıcı tarafından periyodik olarak teyit edilir.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Manipülasyon ve hatalı raporlama riski azalır.</w:t>
      </w:r>
    </w:p>
    <w:p w14:paraId="5195030A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296 – Kaynak İzlenebilirliği (Trail of Funds)</w:t>
      </w:r>
    </w:p>
    <w:p w14:paraId="5D601389" w14:textId="6F230B9B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Kamu fonlarının proje içindeki hareketi izlenebilir ve dış denetime uygun şekilde kaydedilir.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Yolsuzluk ve suiistimal tespiti kolaylaşır.</w:t>
      </w:r>
    </w:p>
    <w:p w14:paraId="49DA5053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297 – Etik İhlal Sonrası İyileştirme Zorunluluğu</w:t>
      </w:r>
    </w:p>
    <w:p w14:paraId="108B561A" w14:textId="2E81194B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Etik ihlal tespitinde sadece disiplin değil, örnek teşkil edecek bir iyileştirme programı uygulanır.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İyileştirme, kurumsal kültürü yeniden inşa etmeye yöneliktir.</w:t>
      </w:r>
    </w:p>
    <w:p w14:paraId="4C72CB88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298 – Bilgi Erişim Talep Süreleri</w:t>
      </w:r>
    </w:p>
    <w:p w14:paraId="20F0A8CB" w14:textId="29B41FF3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Kamu veya paydaşların bilgi erişim talepleri için azami cevap süreleri belirlenir; gecikme yaptırımları öngörülür.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Bilgiye erişimde gereksiz engeller kaldırılır.</w:t>
      </w:r>
    </w:p>
    <w:p w14:paraId="4B882F77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299 – Performans Temelli Ödeme Mekanizması</w:t>
      </w:r>
    </w:p>
    <w:p w14:paraId="4291B927" w14:textId="77777777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Taahhütlerin ödeme planları, ölçülebilir performansa bağlanır; başarısızlıkta ödeme geri çekilebilir.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Ödeme-disiplin bağlantısı, sonuç odaklılığı artırır.</w:t>
      </w:r>
    </w:p>
    <w:p w14:paraId="6B78ED99" w14:textId="44706C2D" w:rsidR="00D41D01" w:rsidRPr="00D41D01" w:rsidRDefault="00D41D01" w:rsidP="00D41D01">
      <w:pPr>
        <w:rPr>
          <w:rFonts w:ascii="Times New Roman" w:hAnsi="Times New Roman" w:cs="Times New Roman"/>
        </w:rPr>
      </w:pPr>
    </w:p>
    <w:p w14:paraId="193FFE05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300 – Bağımsız Etki Tazminatı Fonları</w:t>
      </w:r>
    </w:p>
    <w:p w14:paraId="04EAA03A" w14:textId="7E3A6E9D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Ciddi toplumsal zararlarda kullanılmak üzere, belirlenmiş kaynaklardan finanse edilen bağımsız tazminat fonu oluşturulur.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Mağdurların hızlı erişebileceği tarafsız destek imkânı sağlar.</w:t>
      </w:r>
    </w:p>
    <w:p w14:paraId="38119196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301 – Yönetişim İhlali Puanlama Sistemi</w:t>
      </w:r>
    </w:p>
    <w:p w14:paraId="5EC0F3C5" w14:textId="22B265DD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Yönetişim hataları puanlanır; belirli puan eşiği aşıldığında otomatik inceleme ve kısıtlama süreçleri devreye girer.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Nicel mekanizma, erken uyarı ve müdahale sağlar.</w:t>
      </w:r>
    </w:p>
    <w:p w14:paraId="2B54B59E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302 – Sözlü Taahhütlerin Yazıya Dönüştürülmesi</w:t>
      </w:r>
    </w:p>
    <w:p w14:paraId="7B93F455" w14:textId="30FA8742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Stratejik veya mali taahhüt içeren sözlü beyanlar resmi taahhüt belgesine dönüştürülene kadar bağlayıcı sayılmaz.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Sözlü taahhütler suistimal riskine açıktır; yazılı belge gereklidir.</w:t>
      </w:r>
    </w:p>
    <w:p w14:paraId="761154CA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303 – Bilgi Güvenliği Olayı Bildirim Süresi</w:t>
      </w:r>
    </w:p>
    <w:p w14:paraId="10B8513E" w14:textId="1623BCC1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Her güvenlik olayı, iç raporlama sonrası belirlenmiş azami süre içinde yetkili mercilere bildirilir.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Erken bildirim müdahale etkinliğini artırır ve zararları sınırlar.</w:t>
      </w:r>
    </w:p>
    <w:p w14:paraId="0A117186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lastRenderedPageBreak/>
        <w:t>Madde 304 – Siyasi Bağımsızlık Taahhüdü</w:t>
      </w:r>
    </w:p>
    <w:p w14:paraId="686E8C5C" w14:textId="740D006B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Projelerde karar alıcılar tarafsızlık beyanı verir; siyasi müdahale iddiası somut delille soruşturulur.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Siyasi etki iddiaları hızlıca incelenir ve neticelendirilir.</w:t>
      </w:r>
    </w:p>
    <w:p w14:paraId="740B943D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305 – Öğrenme ve Yaygınlaştırma Zorunluluğu</w:t>
      </w:r>
    </w:p>
    <w:p w14:paraId="4ED0C104" w14:textId="31D5ED93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Kapanış raporlarında edinilen dersler özetlenip ilgili kurum/aktörlere dağıtılır; başarılı uygulamalar paylaşılır.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Kurumsal öğrenme, tekrar hataları önler.</w:t>
      </w:r>
    </w:p>
    <w:p w14:paraId="39898880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306 – Denetim Kapsamı Sınırlarının Duyurulması</w:t>
      </w:r>
    </w:p>
    <w:p w14:paraId="64B83221" w14:textId="7707FF09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Denetim yetkileri ve kapsamı proje başlangıcında açıkça ilan edilir; denetim dışı alanlar gerekçe gösterilerek sınırlandırılır.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Şeffaf sınırlar, denetim itibarını korur.</w:t>
      </w:r>
    </w:p>
    <w:p w14:paraId="0968100E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307 – İyileştirme Süreleri ve İcra Planı</w:t>
      </w:r>
    </w:p>
    <w:p w14:paraId="783CAA6C" w14:textId="77777777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Tespit edilen eksiklikler için bağlayıcı iyileştirme süreleri ve icra planları belirlenir; gecikme yaptırımları konur.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Süreli planlar aksiyonun gerçekleşmesini sağlar.</w:t>
      </w:r>
    </w:p>
    <w:p w14:paraId="4A62DA0F" w14:textId="1854D682" w:rsidR="00D41D01" w:rsidRPr="00D41D01" w:rsidRDefault="00D41D01" w:rsidP="00D41D01">
      <w:pPr>
        <w:rPr>
          <w:rFonts w:ascii="Times New Roman" w:hAnsi="Times New Roman" w:cs="Times New Roman"/>
        </w:rPr>
      </w:pPr>
    </w:p>
    <w:p w14:paraId="4D544FC9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308 – Toplumsal Maliyet-Fayda Analizi</w:t>
      </w:r>
    </w:p>
    <w:p w14:paraId="3F501D6A" w14:textId="61095B87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Projeler için ekonomik, sosyal ve çevresel maliyet-fayda analizleri bağımsız uzmanlarca onaylanmadan nihai kabul verilmez.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</w:t>
      </w:r>
      <w:r>
        <w:rPr>
          <w:rFonts w:ascii="Times New Roman" w:hAnsi="Times New Roman" w:cs="Times New Roman"/>
          <w:b/>
          <w:bCs/>
        </w:rPr>
        <w:t>a</w:t>
      </w:r>
      <w:r w:rsidRPr="00D41D01">
        <w:rPr>
          <w:rFonts w:ascii="Times New Roman" w:hAnsi="Times New Roman" w:cs="Times New Roman"/>
          <w:b/>
          <w:bCs/>
        </w:rPr>
        <w:t>:</w:t>
      </w:r>
      <w:r w:rsidRPr="00D41D01">
        <w:rPr>
          <w:rFonts w:ascii="Times New Roman" w:hAnsi="Times New Roman" w:cs="Times New Roman"/>
        </w:rPr>
        <w:t xml:space="preserve"> Kısa vadeli kazançların toplumsal maliyeti göz ardı edilmez.</w:t>
      </w:r>
    </w:p>
    <w:p w14:paraId="7F855035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309 – Bağımsız İhbarda Ödüllendirme</w:t>
      </w:r>
    </w:p>
    <w:p w14:paraId="79013C62" w14:textId="3F0938B6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Haksız uygulamaları bildiren, iyi niyetli ihbarcılar için korunma ve makul ödüllendirme mekanizması düzenlenir.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İhbar sistemi, kurumsal eylemsizliği kırar ve denetimi destekler.</w:t>
      </w:r>
    </w:p>
    <w:p w14:paraId="248C6B9D" w14:textId="1D0C395C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310 – Kapanışta Kamu Hesapları Yayımı</w:t>
      </w:r>
    </w:p>
    <w:p w14:paraId="3A0921C1" w14:textId="77777777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Proje kapanışında nihai harcama hesabı ve sonuç raporu kamuya açık olarak yayımlanır; hesap denetçiye sunulur.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Nihai hesap şeffaflığı, güvenin yeniden tesisini sağlar.</w:t>
      </w:r>
    </w:p>
    <w:p w14:paraId="4989378D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311 – İhlal Kategorilendirmesi</w:t>
      </w:r>
    </w:p>
    <w:p w14:paraId="1819F1CB" w14:textId="5FD182D2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 xml:space="preserve">İhlaller önceden </w:t>
      </w:r>
      <w:r w:rsidRPr="00D41D01">
        <w:rPr>
          <w:rFonts w:ascii="Times New Roman" w:hAnsi="Times New Roman" w:cs="Times New Roman"/>
          <w:i/>
          <w:iCs/>
        </w:rPr>
        <w:t>kategoriye ayrılır</w:t>
      </w:r>
      <w:r w:rsidRPr="00D41D01">
        <w:rPr>
          <w:rFonts w:ascii="Times New Roman" w:hAnsi="Times New Roman" w:cs="Times New Roman"/>
        </w:rPr>
        <w:t xml:space="preserve"> (A: kritik, B: ciddi, C: idari); kategori, uygulanacak yaptırım çerçevesini belirler.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Net sınıflama, yaptırımların öngörülebilir ve tutarlı olmasını sağlar.</w:t>
      </w:r>
    </w:p>
    <w:p w14:paraId="365DB943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312 – Orantılılık Prensibi</w:t>
      </w:r>
    </w:p>
    <w:p w14:paraId="3CE9D39B" w14:textId="039490ED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lastRenderedPageBreak/>
        <w:t>Uygulanacak yaptırım, ihlalin ağırlığı ve kusur derecesiyle orantılı olmak zorundadır; aşırı veya keyfi cezalandırma yasaktır.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Orantılılık adalet ilkesinin operasyonel tercümesidir.</w:t>
      </w:r>
    </w:p>
    <w:p w14:paraId="7167A3FE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313 – Ön İnceleme (Preliminary Review)</w:t>
      </w:r>
    </w:p>
    <w:p w14:paraId="39CDBB92" w14:textId="75889761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İhmal veya ihlal iddiası alındığında, hızlı bir ön inceleme yapılarak soruşturma başlatma kriterleri belirlenir.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Gereksiz soruşturmaları engeller; kaynakları etkin kullanır.</w:t>
      </w:r>
    </w:p>
    <w:p w14:paraId="24A1A48F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314 – Geçici Tedbir Kararnamesi</w:t>
      </w:r>
    </w:p>
    <w:p w14:paraId="0185AD4D" w14:textId="142468CA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Soruşturma süresince somut risk varsa, bağımsız yetkili merci geçici idari tedbir (erişim kısıtlama, görev geçici devri vb.) uygulayabilir; karar yazılı gerekçe ile verilir.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Tedbir kısa süreli ve denetime tabi olmalıdır.</w:t>
      </w:r>
    </w:p>
    <w:p w14:paraId="0056169A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315 – İddia Sahibi Hakkının Bilgilendirilmesi</w:t>
      </w:r>
    </w:p>
    <w:p w14:paraId="01ADCB32" w14:textId="77777777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Soruşturma açılan kişiye iddia ve delillerin özü bildirilir; gizlilik gerekçeleriyle sınırlama uygulanacaksa gerekçe yazılı şekilde sunulur.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Adil sürecin asgari bilgiye erişim şartı korunur.</w:t>
      </w:r>
    </w:p>
    <w:p w14:paraId="0358F374" w14:textId="72849F12" w:rsidR="00D41D01" w:rsidRDefault="00D41D01" w:rsidP="00D41D01">
      <w:pPr>
        <w:rPr>
          <w:rFonts w:ascii="Times New Roman" w:hAnsi="Times New Roman" w:cs="Times New Roman"/>
        </w:rPr>
      </w:pPr>
    </w:p>
    <w:p w14:paraId="25D4B421" w14:textId="77777777" w:rsidR="00D41D01" w:rsidRPr="00D41D01" w:rsidRDefault="00D41D01" w:rsidP="00D41D01">
      <w:pPr>
        <w:rPr>
          <w:rFonts w:ascii="Times New Roman" w:hAnsi="Times New Roman" w:cs="Times New Roman"/>
        </w:rPr>
      </w:pPr>
    </w:p>
    <w:p w14:paraId="06804C49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316 – Delil Toplama Standartları</w:t>
      </w:r>
    </w:p>
    <w:p w14:paraId="7CE9BEC3" w14:textId="6C0F0F75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Deliller hukuka ve etik kurallara uygun yöntemlerle toplanmalı; usulsüz elde edilen deliller iddianın dışına çıkarılabilir.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Usul hataları sürecin meşruiyetini zedeler.</w:t>
      </w:r>
    </w:p>
    <w:p w14:paraId="2E482E7D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317 – Kanıta Dayalı Karar İlkesi</w:t>
      </w:r>
    </w:p>
    <w:p w14:paraId="13FA19D8" w14:textId="18D0E18F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İdari yaptırımlar, yazılı ve/veya elektronik delil ağırlığına dayanarak, gerekçeli bir kararla tesis edilir.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Soyut iddialar yaptırım sebebi olamaz.</w:t>
      </w:r>
    </w:p>
    <w:p w14:paraId="7CBE3853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318 – Hakem/Ad-Hoc Uyuşmazlık Paneli</w:t>
      </w:r>
    </w:p>
    <w:p w14:paraId="623FC1AA" w14:textId="669A0B26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Ciddi kategorideki ihlaller için bağımsız, yetkin bir panel atanır; panel üyeleri konflict-of-interest beyanı verir.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</w:t>
      </w:r>
      <w:r>
        <w:rPr>
          <w:rFonts w:ascii="Times New Roman" w:hAnsi="Times New Roman" w:cs="Times New Roman"/>
          <w:b/>
          <w:bCs/>
        </w:rPr>
        <w:t>a</w:t>
      </w:r>
      <w:r w:rsidRPr="00D41D01">
        <w:rPr>
          <w:rFonts w:ascii="Times New Roman" w:hAnsi="Times New Roman" w:cs="Times New Roman"/>
          <w:b/>
          <w:bCs/>
        </w:rPr>
        <w:t>ma:</w:t>
      </w:r>
      <w:r w:rsidRPr="00D41D01">
        <w:rPr>
          <w:rFonts w:ascii="Times New Roman" w:hAnsi="Times New Roman" w:cs="Times New Roman"/>
        </w:rPr>
        <w:t xml:space="preserve"> Bağımsız karar mercii adalet algısını güçlendirir.</w:t>
      </w:r>
    </w:p>
    <w:p w14:paraId="42F57D1C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319 – Savunma Hakkı ve Temsil</w:t>
      </w:r>
    </w:p>
    <w:p w14:paraId="0BC0FDBF" w14:textId="3EAAA518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İncelemeye muhatap kişiler savunma yapma, belge sunma ve bağımsız temsilci(vekil) bulundurma hakkına sahiptir.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Temsil hakkı, prosedürel adaletin temel öğesidir.</w:t>
      </w:r>
    </w:p>
    <w:p w14:paraId="05D34874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320 – Delil Değerlendirme Kriterleri</w:t>
      </w:r>
    </w:p>
    <w:p w14:paraId="34F93407" w14:textId="338C5FF6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lastRenderedPageBreak/>
        <w:t>İdari süreçlerde delil değerlendirmesi için “makul kanaat” standardı; suç şüphesinde adli süreçler için yüksek ispat standardı öngörülür.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İki ayrı standart haksız yaptırımları engellemeye yardımcı olur.</w:t>
      </w:r>
    </w:p>
    <w:p w14:paraId="574DB0FB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321 – Kademeli Yaptırım Tablosu</w:t>
      </w:r>
    </w:p>
    <w:p w14:paraId="323294E3" w14:textId="2B4A3CD5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Her ihlal kategorisi için asgari ve azami yaptırım seçenekleri (uyarı, eğitim, para cezası, geçici görevden uzaklaştırma, kalıcı yetki kısıtlaması) tablo halinde tanımlanır.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Tablo, karar verenlere rehberlik eder ve farklılıkları sınırlar.</w:t>
      </w:r>
    </w:p>
    <w:p w14:paraId="59868AC6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322 – Rehabilitasyon ve İyileştirme Odaklı Yaptırımlar</w:t>
      </w:r>
    </w:p>
    <w:p w14:paraId="6231B072" w14:textId="5A0C7066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Mümkün hallerde yaptırımlar, eğitim, mentorluk veya süreç düzeltme yükümlülüğü gibi iyileştirici unsurlar içerir.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Amaç sadece cezalandırma değil, tekrarın önlenmesidir.</w:t>
      </w:r>
    </w:p>
    <w:p w14:paraId="274AF775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323 – Kamuya Açıklama Politikası</w:t>
      </w:r>
    </w:p>
    <w:p w14:paraId="02040884" w14:textId="77777777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Ciddi yaptırımların duyurusu; mahremiyet ve adli süreç etkileri gözetilerek, hangi bilgiler kamuya açıklanacağı prosedürde belirlenir.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Şeffaflık ile itibar hakkı dengelenir.</w:t>
      </w:r>
    </w:p>
    <w:p w14:paraId="6FC76E97" w14:textId="72584B33" w:rsidR="00D41D01" w:rsidRDefault="00D41D01" w:rsidP="00D41D01">
      <w:pPr>
        <w:rPr>
          <w:rFonts w:ascii="Times New Roman" w:hAnsi="Times New Roman" w:cs="Times New Roman"/>
        </w:rPr>
      </w:pPr>
    </w:p>
    <w:p w14:paraId="1537BDBC" w14:textId="77777777" w:rsidR="00D41D01" w:rsidRPr="00D41D01" w:rsidRDefault="00D41D01" w:rsidP="00D41D01">
      <w:pPr>
        <w:rPr>
          <w:rFonts w:ascii="Times New Roman" w:hAnsi="Times New Roman" w:cs="Times New Roman"/>
        </w:rPr>
      </w:pPr>
    </w:p>
    <w:p w14:paraId="50EA915D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324 – Mali Yaptırım Uygulama Usulü</w:t>
      </w:r>
    </w:p>
    <w:p w14:paraId="55474342" w14:textId="167698E3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Para cezaları; hesaplama yöntemi, ödeme süresi, itiraz hakkı ve teminat gereklilikleriyle birlikte düzenlenir.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Mali yaptırımların uygulanması hukuki öngörülebilirlik gerektirir.</w:t>
      </w:r>
    </w:p>
    <w:p w14:paraId="29EC13EB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325 – İcra Önlemleri ve Teminat</w:t>
      </w:r>
    </w:p>
    <w:p w14:paraId="7D313B48" w14:textId="5ED3E9CB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Yüksek riskli durumlarda uygulanacak mali veya idari teminat talepleri (hesap dondurma, teminat gösterme) kanuni dayanakla sınırlıdır.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Teminat, kötü niyetli aramalara karşı ölçülü kullanılmalı.</w:t>
      </w:r>
    </w:p>
    <w:p w14:paraId="64BC293F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326 – Cezai Sevk Kriterleri</w:t>
      </w:r>
    </w:p>
    <w:p w14:paraId="5E77939D" w14:textId="02BD0CD5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İç soruşturmada suç unsuru tespit edilirse, yetkili savcılığa sevk için gerekli delil eşiği ve prosedür tarif edilir.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Adli takibat için iç sürecin yönlendirme görevleri açıkça tanımlanır.</w:t>
      </w:r>
    </w:p>
    <w:p w14:paraId="2C66DECE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327 – İtiraz ve İstinaf Mekanizması</w:t>
      </w:r>
    </w:p>
    <w:p w14:paraId="64626E4A" w14:textId="29A1F310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İdari yaptırım kararlarına karşı bağımsız üst mercide itiraz ve istinaf yolları tanımlıdır; süreler ve süreç şeffaf şekilde bildirilir.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İtiraz hakkı, kararların denetlenmesini sağlar.</w:t>
      </w:r>
    </w:p>
    <w:p w14:paraId="2F2E0106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328 – Yaptırım Kayıt Defteri</w:t>
      </w:r>
    </w:p>
    <w:p w14:paraId="397F44F7" w14:textId="44F682AF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lastRenderedPageBreak/>
        <w:t>Uygulanan yaptırımlar, gerekçe, süre ve sonuçlarıyla merkezi bir sicilde tutulur; erişim yetkileri sınırlıdır.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Sicil, tekrar eden kusurların izlenmesine yardımcı olur.</w:t>
      </w:r>
    </w:p>
    <w:p w14:paraId="628585A7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329 – Tekrarlayan İhlal Ağacı</w:t>
      </w:r>
    </w:p>
    <w:p w14:paraId="455EDDE4" w14:textId="40004433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Tekrarlayan ihlallerde artan cezai/ idari ağırlık uygulanır; artış oranları ve eşikler mevzuatta belirlenir.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Tekerrürün caydırılması için nicel kurallar gerekir.</w:t>
      </w:r>
    </w:p>
    <w:p w14:paraId="63735336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330 – Zaman Sınırı ve Zamanaşımı</w:t>
      </w:r>
    </w:p>
    <w:p w14:paraId="35A3630C" w14:textId="65451D16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İdari soruşturmalar için başlatma ve sonuçlandırma süresi üst sınırları; zamanaşımı kuralları açıkça belirlenir.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Uzamış süreçler adaleti zedeler; makul süre şarttır.</w:t>
      </w:r>
    </w:p>
    <w:p w14:paraId="581B86F2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331 – İyileşme Şartlı Af</w:t>
      </w:r>
    </w:p>
    <w:p w14:paraId="3314C59C" w14:textId="77777777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Belirlenmiş düzeltme ve eğitim programlarını başarıyla tamamlayanlar için, hafifletilmiş disiplin ya da sicil silme prosedürü öngörülebilir.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İyileşme odaklı yollar tekrar entegrasyonu kolaylaştırır.</w:t>
      </w:r>
    </w:p>
    <w:p w14:paraId="3EEDC764" w14:textId="5CEFC334" w:rsidR="00D41D01" w:rsidRDefault="00D41D01" w:rsidP="00D41D01">
      <w:pPr>
        <w:rPr>
          <w:rFonts w:ascii="Times New Roman" w:hAnsi="Times New Roman" w:cs="Times New Roman"/>
        </w:rPr>
      </w:pPr>
    </w:p>
    <w:p w14:paraId="035D05BC" w14:textId="77777777" w:rsidR="00D41D01" w:rsidRPr="00D41D01" w:rsidRDefault="00D41D01" w:rsidP="00D41D01">
      <w:pPr>
        <w:rPr>
          <w:rFonts w:ascii="Times New Roman" w:hAnsi="Times New Roman" w:cs="Times New Roman"/>
        </w:rPr>
      </w:pPr>
    </w:p>
    <w:p w14:paraId="43071960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332 – İç Denetim Metrikleri: Uyum Oranı</w:t>
      </w:r>
    </w:p>
    <w:p w14:paraId="03645203" w14:textId="22B1ADDA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 xml:space="preserve">Temel iç denetim metriği olarak </w:t>
      </w:r>
      <w:r w:rsidRPr="00D41D01">
        <w:rPr>
          <w:rFonts w:ascii="Times New Roman" w:hAnsi="Times New Roman" w:cs="Times New Roman"/>
          <w:i/>
          <w:iCs/>
        </w:rPr>
        <w:t>uyum oranı</w:t>
      </w:r>
      <w:r w:rsidRPr="00D41D01">
        <w:rPr>
          <w:rFonts w:ascii="Times New Roman" w:hAnsi="Times New Roman" w:cs="Times New Roman"/>
        </w:rPr>
        <w:t xml:space="preserve"> (% uyumlu süreçler / toplam denetim kapsamı) aylık takip edilir; hedef ve toleranslar tanımlanır.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Uyum oranı, genel kontrol sağlığının kısa göstergesidir.</w:t>
      </w:r>
    </w:p>
    <w:p w14:paraId="3AAAE45B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333 – İç Denetim Metrikleri: MTTR (Mean Time To Remediate)</w:t>
      </w:r>
    </w:p>
    <w:p w14:paraId="37722BD4" w14:textId="156752A6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Tespit edilen bulgunun kapatılma ortalama süresi (gün olarak) izlenir; hedef değerler ve maksimum limitler belirlenir.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Hızlı düzeltme, risk maruziyetini azaltır.</w:t>
      </w:r>
    </w:p>
    <w:p w14:paraId="320840A1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334 – İç Denetim Metrikleri: Kapama Oranı</w:t>
      </w:r>
    </w:p>
    <w:p w14:paraId="118A1AC8" w14:textId="37DA649A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Belirlenen bulguların belirlenen süre içinde kapatılma yüzdesi periyodik raporlanır; düşük oranlarda sorumluların hesap vermesi gerekir.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Kapama oranı uygulama disiplinini ölçer.</w:t>
      </w:r>
    </w:p>
    <w:p w14:paraId="7A322061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335 – İç Denetim Metrikleri: Tekrar Oranı (Recurrence Rate)</w:t>
      </w:r>
    </w:p>
    <w:p w14:paraId="5AC4F479" w14:textId="5052278F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Aynı kategoride ortaya çıkan bulguların yıllık tekrarlanma oranı izlenir; eşiğin üzerindekiler için kök neden incelemesi zorunludur.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Tekrar, yüzeysel çözümden daha derin problemleri işaret eder.</w:t>
      </w:r>
    </w:p>
    <w:p w14:paraId="50E3B693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336 – Kontrol Etkinliği Skoru</w:t>
      </w:r>
    </w:p>
    <w:p w14:paraId="0E585ED0" w14:textId="748E1549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lastRenderedPageBreak/>
        <w:t>Her kontrol noktası için etkinlik skoru (tasarım</w:t>
      </w:r>
      <w:r w:rsidR="008B4CD8">
        <w:rPr>
          <w:rFonts w:ascii="Times New Roman" w:hAnsi="Times New Roman" w:cs="Times New Roman"/>
        </w:rPr>
        <w:t xml:space="preserve"> </w:t>
      </w:r>
      <w:r w:rsidRPr="00D41D01">
        <w:rPr>
          <w:rFonts w:ascii="Times New Roman" w:hAnsi="Times New Roman" w:cs="Times New Roman"/>
        </w:rPr>
        <w:t>+</w:t>
      </w:r>
      <w:r w:rsidR="008B4CD8">
        <w:rPr>
          <w:rFonts w:ascii="Times New Roman" w:hAnsi="Times New Roman" w:cs="Times New Roman"/>
        </w:rPr>
        <w:t xml:space="preserve"> </w:t>
      </w:r>
      <w:r w:rsidRPr="00D41D01">
        <w:rPr>
          <w:rFonts w:ascii="Times New Roman" w:hAnsi="Times New Roman" w:cs="Times New Roman"/>
        </w:rPr>
        <w:t>işleyiş) hesaplanır; düşük skorlu kontroller için düzeltici plan atanır.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Skor, hangi kontrollerin güçlendirilmesi gerektiğini gösterir.</w:t>
      </w:r>
    </w:p>
    <w:p w14:paraId="6F39F839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337 – Denetim Kapsama Oranı</w:t>
      </w:r>
    </w:p>
    <w:p w14:paraId="4B88287F" w14:textId="5EADD2F5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Yıl içindeki denetimlerin hangi sistem ve süreçleri kapsadığı oranla ifade edilir; asgari kapsama oranı mevzuatta belirlenir.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Kapsama dışı alanlar gizli risk oluşturur.</w:t>
      </w:r>
    </w:p>
    <w:p w14:paraId="418671FE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338 – Performans Göstergelerinin Doğrulanması</w:t>
      </w:r>
    </w:p>
    <w:p w14:paraId="0F8F9678" w14:textId="4D82E5A2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Denetim raporlarındaki KPI’lar bağımsız doğrulayıcı tarafından periyodik olarak teyit edilir; sapma durumunda yeniden değerlendirme yapılır.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KPI manipülasyonunu engellemek için bağımsız doğrulama şarttır.</w:t>
      </w:r>
    </w:p>
    <w:p w14:paraId="128C232F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339 – Denetim Bulgularının Sınıflandırılması</w:t>
      </w:r>
    </w:p>
    <w:p w14:paraId="252E6E49" w14:textId="77777777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Denetim bulguları risk ağırlığına göre sınıflandırılır (kritik/orta/düşük) ve her sınıf için kapama süreleri sabittir.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Önceliklendirme kaynakların etkin kullanılmasını sağlar.</w:t>
      </w:r>
    </w:p>
    <w:p w14:paraId="0149A071" w14:textId="68A9DB8E" w:rsidR="00D41D01" w:rsidRDefault="00D41D01" w:rsidP="00D41D01">
      <w:pPr>
        <w:rPr>
          <w:rFonts w:ascii="Times New Roman" w:hAnsi="Times New Roman" w:cs="Times New Roman"/>
        </w:rPr>
      </w:pPr>
    </w:p>
    <w:p w14:paraId="53E768B9" w14:textId="77777777" w:rsidR="00D41D01" w:rsidRPr="00D41D01" w:rsidRDefault="00D41D01" w:rsidP="00D41D01">
      <w:pPr>
        <w:rPr>
          <w:rFonts w:ascii="Times New Roman" w:hAnsi="Times New Roman" w:cs="Times New Roman"/>
        </w:rPr>
      </w:pPr>
    </w:p>
    <w:p w14:paraId="009CD231" w14:textId="77777777" w:rsidR="00D41D01" w:rsidRPr="00D41D01" w:rsidRDefault="00D41D01" w:rsidP="00D41D01">
      <w:pPr>
        <w:rPr>
          <w:rFonts w:ascii="Times New Roman" w:hAnsi="Times New Roman" w:cs="Times New Roman"/>
          <w:b/>
          <w:bCs/>
        </w:rPr>
      </w:pPr>
      <w:r w:rsidRPr="00D41D01">
        <w:rPr>
          <w:rFonts w:ascii="Times New Roman" w:hAnsi="Times New Roman" w:cs="Times New Roman"/>
          <w:b/>
          <w:bCs/>
        </w:rPr>
        <w:t>Madde 340 – Denetim İzleme Panosu ve Erken Uyarı</w:t>
      </w:r>
    </w:p>
    <w:p w14:paraId="1B384BB0" w14:textId="77777777" w:rsidR="00D41D01" w:rsidRPr="00D41D01" w:rsidRDefault="00D41D01" w:rsidP="00D41D01">
      <w:pPr>
        <w:rPr>
          <w:rFonts w:ascii="Times New Roman" w:hAnsi="Times New Roman" w:cs="Times New Roman"/>
        </w:rPr>
      </w:pPr>
      <w:r w:rsidRPr="00D41D01">
        <w:rPr>
          <w:rFonts w:ascii="Times New Roman" w:hAnsi="Times New Roman" w:cs="Times New Roman"/>
        </w:rPr>
        <w:t>İç denetim sonuçları, canlı bir izleme panosunda toplanır; kritik eşiklerde otomatik uyarı ve sorumlu atama tetiklenir.</w:t>
      </w:r>
      <w:r w:rsidRPr="00D41D01">
        <w:rPr>
          <w:rFonts w:ascii="Times New Roman" w:hAnsi="Times New Roman" w:cs="Times New Roman"/>
        </w:rPr>
        <w:br/>
      </w:r>
      <w:r w:rsidRPr="00D41D01">
        <w:rPr>
          <w:rFonts w:ascii="Times New Roman" w:hAnsi="Times New Roman" w:cs="Times New Roman"/>
          <w:b/>
          <w:bCs/>
        </w:rPr>
        <w:t>Açıklama:</w:t>
      </w:r>
      <w:r w:rsidRPr="00D41D01">
        <w:rPr>
          <w:rFonts w:ascii="Times New Roman" w:hAnsi="Times New Roman" w:cs="Times New Roman"/>
        </w:rPr>
        <w:t xml:space="preserve"> Otomatik uyarı sistemi müdahaleyi hızlandırır ve sorumluluğu görünür kılar.</w:t>
      </w:r>
    </w:p>
    <w:p w14:paraId="0E145F12" w14:textId="77777777" w:rsidR="00D41D01" w:rsidRPr="00EF0F83" w:rsidRDefault="00D41D01" w:rsidP="00EF0F83">
      <w:pPr>
        <w:rPr>
          <w:rFonts w:ascii="Times New Roman" w:hAnsi="Times New Roman" w:cs="Times New Roman"/>
        </w:rPr>
      </w:pPr>
    </w:p>
    <w:p w14:paraId="63F1181C" w14:textId="77777777" w:rsidR="009E2AB1" w:rsidRPr="009E2AB1" w:rsidRDefault="009E2AB1" w:rsidP="009E2AB1">
      <w:pPr>
        <w:rPr>
          <w:rFonts w:ascii="Times New Roman" w:hAnsi="Times New Roman" w:cs="Times New Roman"/>
        </w:rPr>
      </w:pPr>
    </w:p>
    <w:p w14:paraId="2A90A2FD" w14:textId="77777777" w:rsidR="009E2AB1" w:rsidRPr="009E2AB1" w:rsidRDefault="009E2AB1" w:rsidP="009E2AB1">
      <w:pPr>
        <w:rPr>
          <w:rFonts w:ascii="Times New Roman" w:hAnsi="Times New Roman" w:cs="Times New Roman"/>
        </w:rPr>
      </w:pPr>
    </w:p>
    <w:p w14:paraId="28BC7C29" w14:textId="77777777" w:rsidR="009E2AB1" w:rsidRPr="009E2AB1" w:rsidRDefault="009E2AB1" w:rsidP="009E2AB1">
      <w:pPr>
        <w:rPr>
          <w:rFonts w:ascii="Times New Roman" w:hAnsi="Times New Roman" w:cs="Times New Roman"/>
        </w:rPr>
      </w:pPr>
    </w:p>
    <w:p w14:paraId="350A4429" w14:textId="77777777" w:rsidR="00554C03" w:rsidRPr="00554C03" w:rsidRDefault="00554C03" w:rsidP="00554C03">
      <w:pPr>
        <w:rPr>
          <w:rFonts w:ascii="Times New Roman" w:hAnsi="Times New Roman" w:cs="Times New Roman"/>
        </w:rPr>
      </w:pPr>
    </w:p>
    <w:p w14:paraId="002A8A32" w14:textId="77777777" w:rsidR="00554C03" w:rsidRPr="00554C03" w:rsidRDefault="00554C03" w:rsidP="00554C03">
      <w:pPr>
        <w:rPr>
          <w:rFonts w:ascii="Times New Roman" w:hAnsi="Times New Roman" w:cs="Times New Roman"/>
        </w:rPr>
      </w:pPr>
    </w:p>
    <w:p w14:paraId="75639969" w14:textId="77777777" w:rsidR="00554C03" w:rsidRPr="00554C03" w:rsidRDefault="00554C03" w:rsidP="00554C03">
      <w:pPr>
        <w:rPr>
          <w:rFonts w:ascii="Times New Roman" w:hAnsi="Times New Roman" w:cs="Times New Roman"/>
        </w:rPr>
      </w:pPr>
    </w:p>
    <w:p w14:paraId="373298CB" w14:textId="77777777" w:rsidR="00554C03" w:rsidRPr="00554C03" w:rsidRDefault="00554C03" w:rsidP="00554C03">
      <w:pPr>
        <w:rPr>
          <w:rFonts w:ascii="Times New Roman" w:hAnsi="Times New Roman" w:cs="Times New Roman"/>
        </w:rPr>
      </w:pPr>
    </w:p>
    <w:p w14:paraId="07B383D2" w14:textId="77777777" w:rsidR="00554C03" w:rsidRPr="00542B72" w:rsidRDefault="00554C03" w:rsidP="00542B72">
      <w:pPr>
        <w:rPr>
          <w:rFonts w:ascii="Times New Roman" w:hAnsi="Times New Roman" w:cs="Times New Roman"/>
        </w:rPr>
      </w:pPr>
    </w:p>
    <w:p w14:paraId="6FC5196C" w14:textId="77777777" w:rsidR="00542B72" w:rsidRPr="00542B72" w:rsidRDefault="00542B72" w:rsidP="00542B72">
      <w:pPr>
        <w:rPr>
          <w:rFonts w:ascii="Times New Roman" w:hAnsi="Times New Roman" w:cs="Times New Roman"/>
        </w:rPr>
      </w:pPr>
    </w:p>
    <w:p w14:paraId="062ED712" w14:textId="77777777" w:rsidR="00542B72" w:rsidRPr="00542B72" w:rsidRDefault="00542B72" w:rsidP="00542B72">
      <w:pPr>
        <w:rPr>
          <w:rFonts w:ascii="Times New Roman" w:hAnsi="Times New Roman" w:cs="Times New Roman"/>
        </w:rPr>
      </w:pPr>
    </w:p>
    <w:p w14:paraId="2B33482D" w14:textId="77777777" w:rsidR="00542B72" w:rsidRPr="00542B72" w:rsidRDefault="00542B72" w:rsidP="00542B72">
      <w:pPr>
        <w:rPr>
          <w:rFonts w:ascii="Times New Roman" w:hAnsi="Times New Roman" w:cs="Times New Roman"/>
        </w:rPr>
      </w:pPr>
    </w:p>
    <w:p w14:paraId="70954E2A" w14:textId="77777777" w:rsidR="00542B72" w:rsidRDefault="00542B72" w:rsidP="00542B72">
      <w:pPr>
        <w:rPr>
          <w:rFonts w:ascii="Times New Roman" w:hAnsi="Times New Roman" w:cs="Times New Roman"/>
        </w:rPr>
      </w:pPr>
    </w:p>
    <w:p w14:paraId="21EA49B4" w14:textId="77777777" w:rsidR="00542B72" w:rsidRPr="00542B72" w:rsidRDefault="00542B72" w:rsidP="00542B72">
      <w:pPr>
        <w:rPr>
          <w:rFonts w:ascii="Times New Roman" w:hAnsi="Times New Roman" w:cs="Times New Roman"/>
        </w:rPr>
      </w:pPr>
    </w:p>
    <w:p w14:paraId="6696B86C" w14:textId="77777777" w:rsidR="00C8162A" w:rsidRPr="00C8162A" w:rsidRDefault="00C8162A" w:rsidP="00C8162A">
      <w:pPr>
        <w:rPr>
          <w:rFonts w:ascii="Times New Roman" w:hAnsi="Times New Roman" w:cs="Times New Roman"/>
        </w:rPr>
      </w:pPr>
    </w:p>
    <w:p w14:paraId="5E0876A7" w14:textId="77777777" w:rsidR="00C8162A" w:rsidRPr="00C8162A" w:rsidRDefault="00C8162A" w:rsidP="00C8162A">
      <w:pPr>
        <w:rPr>
          <w:rFonts w:ascii="Times New Roman" w:hAnsi="Times New Roman" w:cs="Times New Roman"/>
        </w:rPr>
      </w:pPr>
    </w:p>
    <w:p w14:paraId="78C29CA1" w14:textId="2362765A" w:rsidR="00C8162A" w:rsidRDefault="00C8162A" w:rsidP="00C8162A"/>
    <w:p w14:paraId="5C4B66D3" w14:textId="25923A5C" w:rsidR="00C8162A" w:rsidRPr="00C8162A" w:rsidRDefault="00C8162A" w:rsidP="00C8162A">
      <w:pPr>
        <w:rPr>
          <w:rFonts w:ascii="Times New Roman" w:hAnsi="Times New Roman" w:cs="Times New Roman"/>
        </w:rPr>
      </w:pPr>
    </w:p>
    <w:sectPr w:rsidR="00C8162A" w:rsidRPr="00C816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62A"/>
    <w:rsid w:val="001D7637"/>
    <w:rsid w:val="003C6A71"/>
    <w:rsid w:val="00542B72"/>
    <w:rsid w:val="00554C03"/>
    <w:rsid w:val="00583A2C"/>
    <w:rsid w:val="0078687E"/>
    <w:rsid w:val="008A6E7D"/>
    <w:rsid w:val="008B4CD8"/>
    <w:rsid w:val="009E2AB1"/>
    <w:rsid w:val="00A769D8"/>
    <w:rsid w:val="00AA5A51"/>
    <w:rsid w:val="00C8162A"/>
    <w:rsid w:val="00D41D01"/>
    <w:rsid w:val="00DB57F3"/>
    <w:rsid w:val="00EF0F83"/>
    <w:rsid w:val="00F81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425DF"/>
  <w15:chartTrackingRefBased/>
  <w15:docId w15:val="{2A6B5F0A-1858-47E8-8ACF-AA3BE12D1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C816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C816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C816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C816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C816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C816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C816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C816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C816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C816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C816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C816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C8162A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C8162A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C8162A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C8162A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C8162A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C8162A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C816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C816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C816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C816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C816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C8162A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C8162A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C8162A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C816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C8162A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C8162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6EA52A-5284-4402-B4EB-4789EDAAF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41</Pages>
  <Words>11416</Words>
  <Characters>65072</Characters>
  <Application>Microsoft Office Word</Application>
  <DocSecurity>0</DocSecurity>
  <Lines>542</Lines>
  <Paragraphs>152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Eren Doğu</dc:creator>
  <cp:keywords/>
  <dc:description/>
  <cp:lastModifiedBy>Eren Doğu</cp:lastModifiedBy>
  <cp:revision>11</cp:revision>
  <dcterms:created xsi:type="dcterms:W3CDTF">2025-10-18T16:28:00Z</dcterms:created>
  <dcterms:modified xsi:type="dcterms:W3CDTF">2025-11-11T18:24:00Z</dcterms:modified>
</cp:coreProperties>
</file>