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87EB8" w14:textId="3CD41A6F" w:rsidR="00607C68" w:rsidRDefault="00000000">
      <w:pPr>
        <w:pStyle w:val="Balk1"/>
        <w:spacing w:before="0" w:after="12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 xml:space="preserve">DIŞ İLİŞKİLER OFİSİ POLİTİKASI </w:t>
      </w:r>
    </w:p>
    <w:p w14:paraId="5FE2269E" w14:textId="77777777" w:rsidR="00607C68" w:rsidRPr="00835369" w:rsidRDefault="00000000">
      <w:pPr>
        <w:jc w:val="right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5369">
        <w:rPr>
          <w:rFonts w:ascii="Times New Roman" w:eastAsia="Times New Roman" w:hAnsi="Times New Roman" w:cs="Times New Roman"/>
          <w:b/>
          <w:sz w:val="32"/>
          <w:szCs w:val="32"/>
        </w:rPr>
        <w:t>09/11/2025</w:t>
      </w:r>
    </w:p>
    <w:p w14:paraId="01F06A12" w14:textId="77777777" w:rsidR="00607C68" w:rsidRDefault="00607C68"/>
    <w:p w14:paraId="7F21F2E0" w14:textId="77777777" w:rsidR="00607C68" w:rsidRDefault="00000000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Bu belge, kongre oturumunda karara bağlanan ve yürürlüğe giren resmi politikayı tanımlar.</w:t>
      </w:r>
    </w:p>
    <w:p w14:paraId="546F8060" w14:textId="77777777" w:rsidR="00607C68" w:rsidRDefault="00000000">
      <w:pPr>
        <w:pStyle w:val="Balk2"/>
        <w:spacing w:before="0" w:after="12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MADDE 1: ANAYASA (TEMEL İLKELER VE SINIRLAR)</w:t>
      </w:r>
    </w:p>
    <w:p w14:paraId="549CBD2A" w14:textId="77777777" w:rsidR="00607C68" w:rsidRDefault="00000000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Politikanın temelini oluşturan değişmez ilkeler ve ihlali yaptırıma tabi olan sınırlar.</w:t>
      </w:r>
    </w:p>
    <w:p w14:paraId="1C11C961" w14:textId="77777777" w:rsidR="00607C68" w:rsidRDefault="00000000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Times New Roman" w:eastAsia="Times New Roman" w:hAnsi="Times New Roman" w:cs="Times New Roman"/>
          <w:b/>
          <w:color w:val="1B1C1D"/>
        </w:rPr>
      </w:pPr>
      <w:r>
        <w:rPr>
          <w:rFonts w:ascii="Times New Roman" w:eastAsia="Times New Roman" w:hAnsi="Times New Roman" w:cs="Times New Roman"/>
          <w:b/>
          <w:color w:val="1B1C1D"/>
        </w:rPr>
        <w:t>1.1. Temel Değerler (Müzakere Edilemez):</w:t>
      </w:r>
    </w:p>
    <w:p w14:paraId="71674EE6" w14:textId="77777777" w:rsidR="00607C6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1B1C1D"/>
        </w:rPr>
        <w:t>Güven</w:t>
      </w:r>
    </w:p>
    <w:p w14:paraId="234AC465" w14:textId="77777777" w:rsidR="00607C6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1B1C1D"/>
        </w:rPr>
        <w:t>Saygı</w:t>
      </w:r>
    </w:p>
    <w:p w14:paraId="065D0D78" w14:textId="77777777" w:rsidR="00607C6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1B1C1D"/>
        </w:rPr>
        <w:t>Dürüstlük</w:t>
      </w:r>
    </w:p>
    <w:p w14:paraId="3ADA5F9A" w14:textId="77777777" w:rsidR="00607C68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1B1C1D"/>
        </w:rPr>
        <w:t>Karşılıklılık</w:t>
      </w:r>
    </w:p>
    <w:p w14:paraId="66927AD3" w14:textId="77777777" w:rsidR="00607C68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275" w:lineRule="auto"/>
        <w:rPr>
          <w:rFonts w:ascii="Times New Roman" w:eastAsia="Times New Roman" w:hAnsi="Times New Roman" w:cs="Times New Roman"/>
          <w:b/>
          <w:color w:val="1B1C1D"/>
        </w:rPr>
      </w:pPr>
      <w:r>
        <w:rPr>
          <w:rFonts w:ascii="Times New Roman" w:eastAsia="Times New Roman" w:hAnsi="Times New Roman" w:cs="Times New Roman"/>
          <w:b/>
          <w:color w:val="1B1C1D"/>
        </w:rPr>
        <w:t>1.2. Kırmızı Çizgiler (Yaptırım Sebebi):</w:t>
      </w:r>
    </w:p>
    <w:p w14:paraId="1C7ECF5D" w14:textId="77777777" w:rsidR="00607C6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1B1C1D"/>
        </w:rPr>
        <w:t>Yanlış yönlendirme</w:t>
      </w:r>
    </w:p>
    <w:p w14:paraId="47E5ED0A" w14:textId="77777777" w:rsidR="00607C6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1B1C1D"/>
        </w:rPr>
        <w:t>Yanlış bilgilendirme</w:t>
      </w:r>
    </w:p>
    <w:p w14:paraId="5AC372B2" w14:textId="77777777" w:rsidR="00607C6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1B1C1D"/>
        </w:rPr>
        <w:t>Ahlaksız veya Uygunsuz davranış</w:t>
      </w:r>
    </w:p>
    <w:p w14:paraId="1713FD3E" w14:textId="77777777" w:rsidR="00607C6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1B1C1D"/>
        </w:rPr>
        <w:t>Mahremiyet ihlali</w:t>
      </w:r>
    </w:p>
    <w:p w14:paraId="74E7008C" w14:textId="77777777" w:rsidR="00607C68" w:rsidRDefault="00000000">
      <w:pPr>
        <w:pStyle w:val="Balk2"/>
        <w:spacing w:before="120" w:after="12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MADDE 2: PAYDAŞ SINIFLANDIRMASI (İLİŞKİ KADEMELERİ)</w:t>
      </w:r>
    </w:p>
    <w:p w14:paraId="5D0CF092" w14:textId="77777777" w:rsidR="00607C68" w:rsidRDefault="00000000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Çevredeki bireylerle olan ilişkiler, 5 hiyerarşik kademede yönetilir:</w:t>
      </w:r>
    </w:p>
    <w:p w14:paraId="5475F8AA" w14:textId="77777777" w:rsidR="00607C6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Kademe 5: Sırdaşlık</w:t>
      </w:r>
      <w:r>
        <w:rPr>
          <w:rFonts w:ascii="Times New Roman" w:eastAsia="Times New Roman" w:hAnsi="Times New Roman" w:cs="Times New Roman"/>
          <w:color w:val="1B1C1D"/>
        </w:rPr>
        <w:t xml:space="preserve"> (En Yüksek Stratejik İlişki)</w:t>
      </w:r>
    </w:p>
    <w:p w14:paraId="4CD1739D" w14:textId="77777777" w:rsidR="00607C6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Kademe 4: LTS (Uzun Vadeli Stratejik)</w:t>
      </w:r>
      <w:r>
        <w:rPr>
          <w:rFonts w:ascii="Times New Roman" w:eastAsia="Times New Roman" w:hAnsi="Times New Roman" w:cs="Times New Roman"/>
          <w:color w:val="1B1C1D"/>
        </w:rPr>
        <w:t xml:space="preserve"> (Stratejik Müttefik)</w:t>
      </w:r>
    </w:p>
    <w:p w14:paraId="1A4D306B" w14:textId="77777777" w:rsidR="00607C6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Kademe 3: Arkadaşlık</w:t>
      </w:r>
      <w:r>
        <w:rPr>
          <w:rFonts w:ascii="Times New Roman" w:eastAsia="Times New Roman" w:hAnsi="Times New Roman" w:cs="Times New Roman"/>
          <w:color w:val="1B1C1D"/>
        </w:rPr>
        <w:t xml:space="preserve"> (LTS Ön Koşulu)</w:t>
      </w:r>
    </w:p>
    <w:p w14:paraId="1E473F4E" w14:textId="77777777" w:rsidR="00607C6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Kademe 2: Dostluk</w:t>
      </w:r>
      <w:r>
        <w:rPr>
          <w:rFonts w:ascii="Times New Roman" w:eastAsia="Times New Roman" w:hAnsi="Times New Roman" w:cs="Times New Roman"/>
          <w:color w:val="1B1C1D"/>
        </w:rPr>
        <w:t xml:space="preserve"> (Mikro Fayda İlişkisi)</w:t>
      </w:r>
    </w:p>
    <w:p w14:paraId="2E546349" w14:textId="77777777" w:rsidR="00607C6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Kademe 1: Tarafsızlık</w:t>
      </w:r>
      <w:r>
        <w:rPr>
          <w:rFonts w:ascii="Times New Roman" w:eastAsia="Times New Roman" w:hAnsi="Times New Roman" w:cs="Times New Roman"/>
          <w:color w:val="1B1C1D"/>
        </w:rPr>
        <w:t xml:space="preserve"> (Meta Unsur / Başlangıç Noktası)</w:t>
      </w:r>
    </w:p>
    <w:p w14:paraId="7671BA16" w14:textId="77777777" w:rsidR="00607C68" w:rsidRDefault="00000000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600" w:right="600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b/>
          <w:color w:val="1B1C1D"/>
        </w:rPr>
        <w:t>Politika Notu:</w:t>
      </w:r>
      <w:r>
        <w:rPr>
          <w:rFonts w:ascii="Times New Roman" w:eastAsia="Times New Roman" w:hAnsi="Times New Roman" w:cs="Times New Roman"/>
          <w:color w:val="1B1C1D"/>
        </w:rPr>
        <w:t xml:space="preserve"> "DBKG'nin rakibi yoktur" felsefesi benimsenmiştir. Bu nedenle bir "Düşman" veya "Rakip" kademesi bulunmamaktadır.</w:t>
      </w:r>
    </w:p>
    <w:p w14:paraId="03FCE4A4" w14:textId="77777777" w:rsidR="00607C68" w:rsidRDefault="00607C68">
      <w:pPr>
        <w:pStyle w:val="Balk2"/>
        <w:spacing w:before="240" w:after="120" w:line="275" w:lineRule="auto"/>
        <w:rPr>
          <w:rFonts w:ascii="Times New Roman" w:eastAsia="Times New Roman" w:hAnsi="Times New Roman" w:cs="Times New Roman"/>
          <w:color w:val="1B1C1D"/>
        </w:rPr>
      </w:pPr>
    </w:p>
    <w:p w14:paraId="17DC2ACB" w14:textId="77777777" w:rsidR="00607C68" w:rsidRDefault="00607C68">
      <w:pPr>
        <w:pStyle w:val="Balk2"/>
        <w:spacing w:before="240" w:after="120" w:line="275" w:lineRule="auto"/>
        <w:rPr>
          <w:rFonts w:ascii="Times New Roman" w:eastAsia="Times New Roman" w:hAnsi="Times New Roman" w:cs="Times New Roman"/>
          <w:color w:val="1B1C1D"/>
        </w:rPr>
      </w:pPr>
    </w:p>
    <w:p w14:paraId="74625E99" w14:textId="77777777" w:rsidR="00607C68" w:rsidRDefault="00607C68">
      <w:pPr>
        <w:pStyle w:val="Balk2"/>
        <w:spacing w:before="240" w:after="120" w:line="275" w:lineRule="auto"/>
        <w:rPr>
          <w:rFonts w:ascii="Times New Roman" w:eastAsia="Times New Roman" w:hAnsi="Times New Roman" w:cs="Times New Roman"/>
          <w:color w:val="1B1C1D"/>
        </w:rPr>
      </w:pPr>
    </w:p>
    <w:p w14:paraId="7CD3FDE7" w14:textId="77777777" w:rsidR="00607C68" w:rsidRDefault="00000000">
      <w:pPr>
        <w:pStyle w:val="Balk2"/>
        <w:spacing w:before="240" w:after="12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lastRenderedPageBreak/>
        <w:t>MADDE 3: DİPLOMASİ VE İLETİŞİM PROTOKOLLERİ</w:t>
      </w:r>
    </w:p>
    <w:p w14:paraId="6BC07D87" w14:textId="77777777" w:rsidR="00607C68" w:rsidRDefault="00000000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Her kademe için uygulanacak standart operasyon prosedürleri aşağıdadır.</w:t>
      </w:r>
    </w:p>
    <w:p w14:paraId="529C9290" w14:textId="77777777" w:rsidR="00607C68" w:rsidRDefault="00000000">
      <w:pPr>
        <w:pStyle w:val="Balk3"/>
        <w:spacing w:before="0" w:after="12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1. Tarafsızlık Kademesi</w:t>
      </w:r>
    </w:p>
    <w:p w14:paraId="5BAF7527" w14:textId="77777777" w:rsidR="00607C68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İşleyiş:</w:t>
      </w:r>
      <w:r>
        <w:rPr>
          <w:rFonts w:ascii="Times New Roman" w:eastAsia="Times New Roman" w:hAnsi="Times New Roman" w:cs="Times New Roman"/>
          <w:color w:val="1B1C1D"/>
        </w:rPr>
        <w:t xml:space="preserve"> Tüm ilişkilerin başladığı ve değerlendirildiği "meta" nokta.</w:t>
      </w:r>
    </w:p>
    <w:p w14:paraId="752E4703" w14:textId="77777777" w:rsidR="00607C68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Bilgi Paylaşımı:</w:t>
      </w:r>
      <w:r>
        <w:rPr>
          <w:rFonts w:ascii="Times New Roman" w:eastAsia="Times New Roman" w:hAnsi="Times New Roman" w:cs="Times New Roman"/>
          <w:color w:val="1B1C1D"/>
        </w:rPr>
        <w:t xml:space="preserve"> Çok düşük. Kalabalık ortamlarda iletişim tamamen kesilebilir.</w:t>
      </w:r>
    </w:p>
    <w:p w14:paraId="0B6722DF" w14:textId="77777777" w:rsidR="00607C68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Destek Protokolü:</w:t>
      </w:r>
      <w:r>
        <w:rPr>
          <w:rFonts w:ascii="Times New Roman" w:eastAsia="Times New Roman" w:hAnsi="Times New Roman" w:cs="Times New Roman"/>
          <w:color w:val="1B1C1D"/>
        </w:rPr>
        <w:t xml:space="preserve"> Sınırlı yardım verilebilir. Sadece "son çare" olarak (diğer kademelerden destek alınamazsa) sınırlı yardım alınabilir.</w:t>
      </w:r>
    </w:p>
    <w:p w14:paraId="0EB18454" w14:textId="77777777" w:rsidR="00607C68" w:rsidRDefault="00000000">
      <w:pPr>
        <w:pStyle w:val="Balk3"/>
        <w:spacing w:before="120" w:after="12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2. Dostluk Kademesi</w:t>
      </w:r>
    </w:p>
    <w:p w14:paraId="4B2E50A6" w14:textId="77777777" w:rsidR="00607C68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Yükselme:</w:t>
      </w:r>
      <w:r>
        <w:rPr>
          <w:rFonts w:ascii="Times New Roman" w:eastAsia="Times New Roman" w:hAnsi="Times New Roman" w:cs="Times New Roman"/>
          <w:color w:val="1B1C1D"/>
        </w:rPr>
        <w:t xml:space="preserve"> 1 ay boyunca düzenli ortak çıkar/yön tespiti. (Ortak yönlerin yoğunluğuna göre bu süre kısalabilir).</w:t>
      </w:r>
    </w:p>
    <w:p w14:paraId="4AD8CABE" w14:textId="77777777" w:rsidR="00607C68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İşleyiş:</w:t>
      </w:r>
      <w:r>
        <w:rPr>
          <w:rFonts w:ascii="Times New Roman" w:eastAsia="Times New Roman" w:hAnsi="Times New Roman" w:cs="Times New Roman"/>
          <w:color w:val="1B1C1D"/>
        </w:rPr>
        <w:t xml:space="preserve"> İlişki, çıkar odaklıdır (Eğitim/İş). "Mikro fayda" esastır. 7/16 esasına göre yardım talep edilebilir.</w:t>
      </w:r>
    </w:p>
    <w:p w14:paraId="79E6BE13" w14:textId="77777777" w:rsidR="00607C68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Bilgi Paylaşımı:</w:t>
      </w:r>
      <w:r>
        <w:rPr>
          <w:rFonts w:ascii="Times New Roman" w:eastAsia="Times New Roman" w:hAnsi="Times New Roman" w:cs="Times New Roman"/>
          <w:color w:val="1B1C1D"/>
        </w:rPr>
        <w:t xml:space="preserve"> Kişisel bilgiler ve mahremiyet paylaşımı </w:t>
      </w:r>
      <w:r>
        <w:rPr>
          <w:rFonts w:ascii="Times New Roman" w:eastAsia="Times New Roman" w:hAnsi="Times New Roman" w:cs="Times New Roman"/>
          <w:b/>
          <w:color w:val="1B1C1D"/>
        </w:rPr>
        <w:t>KESİNLİKLE YASAKTIR</w:t>
      </w:r>
      <w:r>
        <w:rPr>
          <w:rFonts w:ascii="Times New Roman" w:eastAsia="Times New Roman" w:hAnsi="Times New Roman" w:cs="Times New Roman"/>
          <w:color w:val="1B1C1D"/>
        </w:rPr>
        <w:t>.</w:t>
      </w:r>
    </w:p>
    <w:p w14:paraId="2416E40D" w14:textId="77777777" w:rsidR="00607C68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Sosyal:</w:t>
      </w:r>
      <w:r>
        <w:rPr>
          <w:rFonts w:ascii="Times New Roman" w:eastAsia="Times New Roman" w:hAnsi="Times New Roman" w:cs="Times New Roman"/>
          <w:color w:val="1B1C1D"/>
        </w:rPr>
        <w:t xml:space="preserve"> "Çok az" düzeyde samimiyet ve sohbete izin verilir.</w:t>
      </w:r>
    </w:p>
    <w:p w14:paraId="1D379806" w14:textId="77777777" w:rsidR="00607C68" w:rsidRDefault="00000000">
      <w:pPr>
        <w:pStyle w:val="Balk3"/>
        <w:spacing w:before="120" w:after="12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3. Arkadaşlık Kademesi</w:t>
      </w:r>
    </w:p>
    <w:p w14:paraId="78CFD4B9" w14:textId="77777777" w:rsidR="00607C68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Yükselme:</w:t>
      </w:r>
      <w:r>
        <w:rPr>
          <w:rFonts w:ascii="Times New Roman" w:eastAsia="Times New Roman" w:hAnsi="Times New Roman" w:cs="Times New Roman"/>
          <w:color w:val="1B1C1D"/>
        </w:rPr>
        <w:t xml:space="preserve"> "Dostluk" kademesinde 1-2 yıllık (duruma göre) "sıkı dostluk" geliştirme süreci.</w:t>
      </w:r>
    </w:p>
    <w:p w14:paraId="5820C666" w14:textId="77777777" w:rsidR="00607C68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İşleyiş:</w:t>
      </w:r>
      <w:r>
        <w:rPr>
          <w:rFonts w:ascii="Times New Roman" w:eastAsia="Times New Roman" w:hAnsi="Times New Roman" w:cs="Times New Roman"/>
          <w:color w:val="1B1C1D"/>
        </w:rPr>
        <w:t xml:space="preserve"> İlişki "karşılıklı fayda" esasına döner. "Ufak çaplı fedakarlıklar" başlar. İletişim sıklığı, pozisyonu korumak için kritiktir (yoksa Dostluğa düşüş yaşanabilir).</w:t>
      </w:r>
    </w:p>
    <w:p w14:paraId="7C68275E" w14:textId="77777777" w:rsidR="00607C68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Bilgi Paylaşımı:</w:t>
      </w:r>
      <w:r>
        <w:rPr>
          <w:rFonts w:ascii="Times New Roman" w:eastAsia="Times New Roman" w:hAnsi="Times New Roman" w:cs="Times New Roman"/>
          <w:color w:val="1B1C1D"/>
        </w:rPr>
        <w:t xml:space="preserve"> Sınırlar gevşetilir. Bazı kişisel bilgiler (gelecek planları, vizyon hareketleri) paylaşılabilir.</w:t>
      </w:r>
    </w:p>
    <w:p w14:paraId="42BB4C11" w14:textId="77777777" w:rsidR="00607C68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DBKG Notu:</w:t>
      </w:r>
      <w:r>
        <w:rPr>
          <w:rFonts w:ascii="Times New Roman" w:eastAsia="Times New Roman" w:hAnsi="Times New Roman" w:cs="Times New Roman"/>
          <w:color w:val="1B1C1D"/>
        </w:rPr>
        <w:t xml:space="preserve"> Bu kademeye geçiş, 5 yıllık LTS sayacını başlatır.</w:t>
      </w:r>
    </w:p>
    <w:p w14:paraId="2661F906" w14:textId="77777777" w:rsidR="00607C68" w:rsidRDefault="00000000">
      <w:pPr>
        <w:pStyle w:val="Balk3"/>
        <w:spacing w:before="120" w:after="12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4. LTS (Uzun Vadeli Stratejik) Kademesi</w:t>
      </w:r>
    </w:p>
    <w:p w14:paraId="179B34A6" w14:textId="77777777" w:rsidR="00607C68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Yükselme:</w:t>
      </w:r>
      <w:r>
        <w:rPr>
          <w:rFonts w:ascii="Times New Roman" w:eastAsia="Times New Roman" w:hAnsi="Times New Roman" w:cs="Times New Roman"/>
          <w:color w:val="1B1C1D"/>
        </w:rPr>
        <w:t xml:space="preserve"> 5 yıl </w:t>
      </w:r>
      <w:r>
        <w:rPr>
          <w:rFonts w:ascii="Times New Roman" w:eastAsia="Times New Roman" w:hAnsi="Times New Roman" w:cs="Times New Roman"/>
          <w:i/>
          <w:color w:val="1B1C1D"/>
        </w:rPr>
        <w:t>kesintisiz</w:t>
      </w:r>
      <w:r>
        <w:rPr>
          <w:rFonts w:ascii="Times New Roman" w:eastAsia="Times New Roman" w:hAnsi="Times New Roman" w:cs="Times New Roman"/>
          <w:color w:val="1B1C1D"/>
        </w:rPr>
        <w:t xml:space="preserve"> "Arkadaşlık" kademesinin tüm gereksinimlerini sürdürmek. (Dostluğa düşüş, sayacı sıfırlar).</w:t>
      </w:r>
    </w:p>
    <w:p w14:paraId="383F7323" w14:textId="77777777" w:rsidR="00607C68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İşleyiş:</w:t>
      </w:r>
      <w:r>
        <w:rPr>
          <w:rFonts w:ascii="Times New Roman" w:eastAsia="Times New Roman" w:hAnsi="Times New Roman" w:cs="Times New Roman"/>
          <w:color w:val="1B1C1D"/>
        </w:rPr>
        <w:t xml:space="preserve"> Kapsamlı yardım, maddi yardım ve delegasyon desteği protokolleri açılır.</w:t>
      </w:r>
    </w:p>
    <w:p w14:paraId="7530CD58" w14:textId="77777777" w:rsidR="00607C68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Bilgi Paylaşımı:</w:t>
      </w:r>
      <w:r>
        <w:rPr>
          <w:rFonts w:ascii="Times New Roman" w:eastAsia="Times New Roman" w:hAnsi="Times New Roman" w:cs="Times New Roman"/>
          <w:color w:val="1B1C1D"/>
        </w:rPr>
        <w:t xml:space="preserve"> "Derinlemesine bilgiler" paylaşılır. (Çok </w:t>
      </w:r>
      <w:proofErr w:type="spellStart"/>
      <w:r>
        <w:rPr>
          <w:rFonts w:ascii="Times New Roman" w:eastAsia="Times New Roman" w:hAnsi="Times New Roman" w:cs="Times New Roman"/>
          <w:color w:val="1B1C1D"/>
        </w:rPr>
        <w:t>yığımlı</w:t>
      </w:r>
      <w:proofErr w:type="spellEnd"/>
      <w:r>
        <w:rPr>
          <w:rFonts w:ascii="Times New Roman" w:eastAsia="Times New Roman" w:hAnsi="Times New Roman" w:cs="Times New Roman"/>
          <w:color w:val="1B1C1D"/>
        </w:rPr>
        <w:t xml:space="preserve"> ve detaylı bilgiler kontrollüdür).</w:t>
      </w:r>
    </w:p>
    <w:p w14:paraId="6C429BAE" w14:textId="77777777" w:rsidR="00607C68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DBKG Entegrasyonu:</w:t>
      </w:r>
      <w:r>
        <w:rPr>
          <w:rFonts w:ascii="Times New Roman" w:eastAsia="Times New Roman" w:hAnsi="Times New Roman" w:cs="Times New Roman"/>
          <w:color w:val="1B1C1D"/>
        </w:rPr>
        <w:t xml:space="preserve"> Kişi "anonim" statüden çıkar ve "DBKG Veri Arşivine" kaydedilir.</w:t>
      </w:r>
    </w:p>
    <w:p w14:paraId="525B6602" w14:textId="77777777" w:rsidR="00607C68" w:rsidRDefault="00000000">
      <w:pPr>
        <w:pStyle w:val="Balk3"/>
        <w:spacing w:before="120" w:after="12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5. Sırdaşlık Kademesi</w:t>
      </w:r>
    </w:p>
    <w:p w14:paraId="1765480D" w14:textId="77777777" w:rsidR="00607C68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Yükselme:</w:t>
      </w:r>
      <w:r>
        <w:rPr>
          <w:rFonts w:ascii="Times New Roman" w:eastAsia="Times New Roman" w:hAnsi="Times New Roman" w:cs="Times New Roman"/>
          <w:color w:val="1B1C1D"/>
        </w:rPr>
        <w:t xml:space="preserve"> LTS statüsünde +5 yıl (Toplam ~10+ yıl). </w:t>
      </w:r>
      <w:r>
        <w:rPr>
          <w:rFonts w:ascii="Times New Roman" w:eastAsia="Times New Roman" w:hAnsi="Times New Roman" w:cs="Times New Roman"/>
          <w:i/>
          <w:color w:val="1B1C1D"/>
        </w:rPr>
        <w:t>Bu kademeye sadece Erkekler ulaşabilir.</w:t>
      </w:r>
    </w:p>
    <w:p w14:paraId="2389CEBA" w14:textId="77777777" w:rsidR="00607C68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İşleyiş:</w:t>
      </w:r>
      <w:r>
        <w:rPr>
          <w:rFonts w:ascii="Times New Roman" w:eastAsia="Times New Roman" w:hAnsi="Times New Roman" w:cs="Times New Roman"/>
          <w:color w:val="1B1C1D"/>
        </w:rPr>
        <w:t xml:space="preserve"> En üst düzey fedakarlıklar. "DBKG Veri Kayıt Arşivinin" en yüksek mertebesinde yer alır.</w:t>
      </w:r>
    </w:p>
    <w:p w14:paraId="78CC6B4A" w14:textId="77777777" w:rsidR="00607C68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Bilgi Paylaşımı:</w:t>
      </w:r>
      <w:r>
        <w:rPr>
          <w:rFonts w:ascii="Times New Roman" w:eastAsia="Times New Roman" w:hAnsi="Times New Roman" w:cs="Times New Roman"/>
          <w:color w:val="1B1C1D"/>
        </w:rPr>
        <w:t xml:space="preserve"> </w:t>
      </w:r>
      <w:r>
        <w:rPr>
          <w:rFonts w:ascii="Times New Roman" w:eastAsia="Times New Roman" w:hAnsi="Times New Roman" w:cs="Times New Roman"/>
          <w:i/>
          <w:color w:val="1B1C1D"/>
        </w:rPr>
        <w:t>Tüm</w:t>
      </w:r>
      <w:r>
        <w:rPr>
          <w:rFonts w:ascii="Times New Roman" w:eastAsia="Times New Roman" w:hAnsi="Times New Roman" w:cs="Times New Roman"/>
          <w:color w:val="1B1C1D"/>
        </w:rPr>
        <w:t xml:space="preserve"> kişisel bilgilere erişim hakkı tanınır. (Detaylar kontrollü aktarılır).</w:t>
      </w:r>
    </w:p>
    <w:p w14:paraId="553CFF27" w14:textId="77777777" w:rsidR="00607C68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Times New Roman" w:eastAsia="Times New Roman" w:hAnsi="Times New Roman" w:cs="Times New Roman"/>
          <w:b/>
          <w:color w:val="1B1C1D"/>
        </w:rPr>
        <w:t>DBKG Entegrasyonu:</w:t>
      </w:r>
      <w:r>
        <w:rPr>
          <w:rFonts w:ascii="Times New Roman" w:eastAsia="Times New Roman" w:hAnsi="Times New Roman" w:cs="Times New Roman"/>
          <w:color w:val="1B1C1D"/>
        </w:rPr>
        <w:t xml:space="preserve"> "DBKG çekirdek bilgileri" ve "kapalı kaynak kodları" </w:t>
      </w:r>
      <w:r>
        <w:rPr>
          <w:rFonts w:ascii="Times New Roman" w:eastAsia="Times New Roman" w:hAnsi="Times New Roman" w:cs="Times New Roman"/>
          <w:i/>
          <w:color w:val="1B1C1D"/>
        </w:rPr>
        <w:t>hariç</w:t>
      </w:r>
      <w:r>
        <w:rPr>
          <w:rFonts w:ascii="Times New Roman" w:eastAsia="Times New Roman" w:hAnsi="Times New Roman" w:cs="Times New Roman"/>
          <w:color w:val="1B1C1D"/>
        </w:rPr>
        <w:t xml:space="preserve"> tüm DBKG sistemini tanıma yetkisi verilir.</w:t>
      </w:r>
    </w:p>
    <w:p w14:paraId="20154C05" w14:textId="77777777" w:rsidR="00607C68" w:rsidRDefault="00607C68">
      <w:pPr>
        <w:pStyle w:val="Balk2"/>
        <w:spacing w:before="120" w:after="120" w:line="275" w:lineRule="auto"/>
        <w:rPr>
          <w:rFonts w:ascii="Times New Roman" w:eastAsia="Times New Roman" w:hAnsi="Times New Roman" w:cs="Times New Roman"/>
          <w:color w:val="1B1C1D"/>
        </w:rPr>
      </w:pPr>
    </w:p>
    <w:p w14:paraId="6C120EEA" w14:textId="77777777" w:rsidR="00607C68" w:rsidRDefault="00607C68">
      <w:pPr>
        <w:pStyle w:val="Balk2"/>
        <w:spacing w:before="120" w:after="120" w:line="275" w:lineRule="auto"/>
        <w:rPr>
          <w:rFonts w:ascii="Times New Roman" w:eastAsia="Times New Roman" w:hAnsi="Times New Roman" w:cs="Times New Roman"/>
          <w:color w:val="1B1C1D"/>
        </w:rPr>
      </w:pPr>
    </w:p>
    <w:p w14:paraId="0BD32291" w14:textId="77777777" w:rsidR="00607C68" w:rsidRDefault="00607C68">
      <w:pPr>
        <w:pStyle w:val="Balk2"/>
        <w:spacing w:before="120" w:after="120" w:line="275" w:lineRule="auto"/>
        <w:rPr>
          <w:rFonts w:ascii="Times New Roman" w:eastAsia="Times New Roman" w:hAnsi="Times New Roman" w:cs="Times New Roman"/>
          <w:color w:val="1B1C1D"/>
        </w:rPr>
      </w:pPr>
    </w:p>
    <w:p w14:paraId="3DE1DC62" w14:textId="77777777" w:rsidR="00607C68" w:rsidRDefault="00607C68">
      <w:pPr>
        <w:pStyle w:val="Balk2"/>
        <w:spacing w:before="120" w:after="120" w:line="275" w:lineRule="auto"/>
        <w:rPr>
          <w:rFonts w:ascii="Times New Roman" w:eastAsia="Times New Roman" w:hAnsi="Times New Roman" w:cs="Times New Roman"/>
          <w:color w:val="1B1C1D"/>
        </w:rPr>
      </w:pPr>
    </w:p>
    <w:p w14:paraId="1CD06EED" w14:textId="77777777" w:rsidR="00607C68" w:rsidRDefault="00607C68">
      <w:pPr>
        <w:pStyle w:val="Balk2"/>
        <w:spacing w:before="120" w:after="120" w:line="275" w:lineRule="auto"/>
        <w:rPr>
          <w:rFonts w:ascii="Times New Roman" w:eastAsia="Times New Roman" w:hAnsi="Times New Roman" w:cs="Times New Roman"/>
          <w:color w:val="1B1C1D"/>
        </w:rPr>
      </w:pPr>
    </w:p>
    <w:p w14:paraId="033C2CFA" w14:textId="77777777" w:rsidR="00607C68" w:rsidRDefault="00000000">
      <w:pPr>
        <w:pStyle w:val="Balk2"/>
        <w:spacing w:before="120" w:after="12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MADDE 4: SINIRLARIN KORUNMASI (YAPTIRIM PROTOKOLÜ)</w:t>
      </w:r>
    </w:p>
    <w:p w14:paraId="3696331C" w14:textId="77777777" w:rsidR="00607C68" w:rsidRDefault="00000000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"Kırmızı Çizgi" (Madde 1.2) ihlali durumunda uygulanacak standart kademe düşürme yaptırımları:</w:t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607C68" w14:paraId="55B2FF47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B338D2B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Times New Roman" w:eastAsia="Times New Roman" w:hAnsi="Times New Roman" w:cs="Times New Roman"/>
                <w:b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</w:rPr>
              <w:t>İhlali Yapan Kademe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BB8CDA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Times New Roman" w:eastAsia="Times New Roman" w:hAnsi="Times New Roman" w:cs="Times New Roman"/>
                <w:b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</w:rPr>
              <w:t>Uygulanacak Yaptırım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D17660F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5" w:lineRule="auto"/>
              <w:rPr>
                <w:rFonts w:ascii="Times New Roman" w:eastAsia="Times New Roman" w:hAnsi="Times New Roman" w:cs="Times New Roman"/>
                <w:b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</w:rPr>
              <w:t>İstikrar Notu</w:t>
            </w:r>
          </w:p>
        </w:tc>
      </w:tr>
      <w:tr w:rsidR="00607C68" w14:paraId="5724E911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EF8189D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b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</w:rPr>
              <w:t>Sırdaşlık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ED5265D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color w:val="1B1C1D"/>
              </w:rPr>
              <w:t>LTS kademesine düşebilir.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22D83C4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color w:val="1B1C1D"/>
              </w:rPr>
              <w:t>Çok Zor İhtimal</w:t>
            </w:r>
          </w:p>
        </w:tc>
      </w:tr>
      <w:tr w:rsidR="00607C68" w14:paraId="4D1BE220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E0E1C8C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b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</w:rPr>
              <w:t>LTS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E6A0BDD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color w:val="1B1C1D"/>
              </w:rPr>
              <w:t>Arkadaşlık kademesine düşebilir.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555F16F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color w:val="1B1C1D"/>
              </w:rPr>
              <w:t>Çok Zor İhtimal</w:t>
            </w:r>
          </w:p>
        </w:tc>
      </w:tr>
      <w:tr w:rsidR="00607C68" w14:paraId="08D160BE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1BEC54F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b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</w:rPr>
              <w:t>Arkadaşlık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EA43FD0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color w:val="1B1C1D"/>
              </w:rPr>
              <w:t>Dostluk kademesine düşebilir.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E30FFC8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color w:val="1B1C1D"/>
              </w:rPr>
              <w:t>Olası</w:t>
            </w:r>
          </w:p>
        </w:tc>
      </w:tr>
      <w:tr w:rsidR="00607C68" w14:paraId="44F24B2B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3791EA1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b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</w:rPr>
              <w:t>Dostluk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898FCE0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b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color w:val="1B1C1D"/>
              </w:rPr>
              <w:t xml:space="preserve">Tarafsızlık kademesine </w:t>
            </w:r>
            <w:r>
              <w:rPr>
                <w:rFonts w:ascii="Times New Roman" w:eastAsia="Times New Roman" w:hAnsi="Times New Roman" w:cs="Times New Roman"/>
                <w:b/>
                <w:color w:val="1B1C1D"/>
              </w:rPr>
              <w:t>düşmez.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029F6EA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color w:val="1B1C1D"/>
              </w:rPr>
              <w:t>Kademe içi yönetilir.</w:t>
            </w:r>
          </w:p>
        </w:tc>
      </w:tr>
      <w:tr w:rsidR="00607C68" w14:paraId="128B2B4D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E3A9A7F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b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</w:rPr>
              <w:t>Tarafsızlık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945C6DD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color w:val="1B1C1D"/>
              </w:rPr>
              <w:t>Dostluğa yükselme süreci "çok uzun" olur.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4EAE621" w14:textId="77777777" w:rsidR="00607C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Times New Roman" w:eastAsia="Times New Roman" w:hAnsi="Times New Roman" w:cs="Times New Roman"/>
                <w:color w:val="1B1C1D"/>
              </w:rPr>
            </w:pPr>
            <w:r>
              <w:rPr>
                <w:rFonts w:ascii="Times New Roman" w:eastAsia="Times New Roman" w:hAnsi="Times New Roman" w:cs="Times New Roman"/>
                <w:color w:val="1B1C1D"/>
              </w:rPr>
              <w:t>Düşmanlık yoktur.</w:t>
            </w:r>
          </w:p>
        </w:tc>
      </w:tr>
    </w:tbl>
    <w:p w14:paraId="0008DC01" w14:textId="77777777" w:rsidR="00607C68" w:rsidRDefault="00607C6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1B1C1D"/>
        </w:rPr>
      </w:pPr>
    </w:p>
    <w:sectPr w:rsidR="00607C68">
      <w:pgSz w:w="12240" w:h="15840"/>
      <w:pgMar w:top="1440" w:right="1440" w:bottom="1440" w:left="1440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Regular r:id="rId1" w:fontKey="{DCE10719-7116-4CD7-97BE-095FEE58455E}"/>
    <w:embedItalic r:id="rId2" w:fontKey="{6E3D0F77-B250-4F9F-86B5-E9A50F87EA66}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  <w:embedRegular r:id="rId3" w:fontKey="{6EDCBADD-FB0D-4B09-9E20-2051903E1C41}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4" w:fontKey="{5A2FA490-84F3-45F2-B26D-257C3A1D0C9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4981"/>
    <w:multiLevelType w:val="multilevel"/>
    <w:tmpl w:val="3254127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0E7C4DC5"/>
    <w:multiLevelType w:val="multilevel"/>
    <w:tmpl w:val="744054B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364A60C8"/>
    <w:multiLevelType w:val="multilevel"/>
    <w:tmpl w:val="4C84E6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48BE6B86"/>
    <w:multiLevelType w:val="multilevel"/>
    <w:tmpl w:val="69C418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4FFA7C6D"/>
    <w:multiLevelType w:val="multilevel"/>
    <w:tmpl w:val="45BA46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 w15:restartNumberingAfterBreak="0">
    <w:nsid w:val="5C823BC5"/>
    <w:multiLevelType w:val="multilevel"/>
    <w:tmpl w:val="873456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 w15:restartNumberingAfterBreak="0">
    <w:nsid w:val="5CE04602"/>
    <w:multiLevelType w:val="multilevel"/>
    <w:tmpl w:val="DE5E6B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 w15:restartNumberingAfterBreak="0">
    <w:nsid w:val="603E72B3"/>
    <w:multiLevelType w:val="multilevel"/>
    <w:tmpl w:val="FAF067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950552364">
    <w:abstractNumId w:val="5"/>
  </w:num>
  <w:num w:numId="2" w16cid:durableId="1767071534">
    <w:abstractNumId w:val="7"/>
  </w:num>
  <w:num w:numId="3" w16cid:durableId="1517039472">
    <w:abstractNumId w:val="4"/>
  </w:num>
  <w:num w:numId="4" w16cid:durableId="506405839">
    <w:abstractNumId w:val="6"/>
  </w:num>
  <w:num w:numId="5" w16cid:durableId="151021338">
    <w:abstractNumId w:val="0"/>
  </w:num>
  <w:num w:numId="6" w16cid:durableId="2001425682">
    <w:abstractNumId w:val="2"/>
  </w:num>
  <w:num w:numId="7" w16cid:durableId="71317793">
    <w:abstractNumId w:val="3"/>
  </w:num>
  <w:num w:numId="8" w16cid:durableId="16798889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7C68"/>
    <w:rsid w:val="00607C68"/>
    <w:rsid w:val="00835369"/>
    <w:rsid w:val="00C01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B89B5"/>
  <w15:docId w15:val="{5D64224D-C086-4A3A-84FF-8B4682837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tr-TR" w:eastAsia="tr-T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535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Eren Doğu</cp:lastModifiedBy>
  <cp:revision>2</cp:revision>
  <dcterms:created xsi:type="dcterms:W3CDTF">2025-11-09T18:41:00Z</dcterms:created>
  <dcterms:modified xsi:type="dcterms:W3CDTF">2025-11-09T18:42:00Z</dcterms:modified>
</cp:coreProperties>
</file>